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6AC" w:rsidRDefault="005136AC"/>
    <w:p w:rsidR="0026308E" w:rsidRDefault="0026308E"/>
    <w:p w:rsidR="0026308E" w:rsidRDefault="0026308E" w:rsidP="0026308E">
      <w:pPr>
        <w:jc w:val="center"/>
        <w:rPr>
          <w:sz w:val="52"/>
        </w:rPr>
      </w:pPr>
    </w:p>
    <w:p w:rsidR="0026308E" w:rsidRDefault="0026308E" w:rsidP="0026308E">
      <w:pPr>
        <w:jc w:val="center"/>
        <w:rPr>
          <w:sz w:val="52"/>
        </w:rPr>
      </w:pPr>
    </w:p>
    <w:p w:rsidR="0026308E" w:rsidRDefault="0026308E" w:rsidP="0026308E">
      <w:pPr>
        <w:jc w:val="center"/>
        <w:rPr>
          <w:sz w:val="52"/>
        </w:rPr>
      </w:pPr>
      <w:r w:rsidRPr="0026308E">
        <w:rPr>
          <w:sz w:val="52"/>
        </w:rPr>
        <w:t>Norfolk and Waveney Mind</w:t>
      </w:r>
    </w:p>
    <w:p w:rsidR="00D47245" w:rsidRPr="0026308E" w:rsidRDefault="00D47245" w:rsidP="0026308E">
      <w:pPr>
        <w:jc w:val="center"/>
        <w:rPr>
          <w:sz w:val="52"/>
        </w:rPr>
      </w:pPr>
      <w:r>
        <w:rPr>
          <w:sz w:val="52"/>
        </w:rPr>
        <w:t>Private Employer</w:t>
      </w:r>
    </w:p>
    <w:p w:rsidR="0026308E" w:rsidRPr="0026308E" w:rsidRDefault="0026308E" w:rsidP="0026308E">
      <w:pPr>
        <w:jc w:val="center"/>
        <w:rPr>
          <w:sz w:val="52"/>
        </w:rPr>
      </w:pPr>
      <w:r w:rsidRPr="0026308E">
        <w:rPr>
          <w:sz w:val="52"/>
        </w:rPr>
        <w:t>Gender Pay Gap Report</w:t>
      </w:r>
    </w:p>
    <w:p w:rsidR="0026308E" w:rsidRDefault="0026308E" w:rsidP="0026308E">
      <w:pPr>
        <w:jc w:val="center"/>
        <w:rPr>
          <w:sz w:val="52"/>
        </w:rPr>
      </w:pPr>
      <w:r w:rsidRPr="0026308E">
        <w:rPr>
          <w:sz w:val="52"/>
        </w:rPr>
        <w:t>April 2023</w:t>
      </w:r>
    </w:p>
    <w:p w:rsidR="0026308E" w:rsidRDefault="0026308E" w:rsidP="0026308E">
      <w:pPr>
        <w:jc w:val="center"/>
        <w:rPr>
          <w:sz w:val="52"/>
        </w:rPr>
      </w:pPr>
    </w:p>
    <w:p w:rsidR="0026308E" w:rsidRDefault="0026308E">
      <w:pPr>
        <w:rPr>
          <w:sz w:val="52"/>
        </w:rPr>
      </w:pPr>
      <w:r>
        <w:rPr>
          <w:sz w:val="52"/>
        </w:rPr>
        <w:br w:type="page"/>
      </w:r>
    </w:p>
    <w:p w:rsidR="0026308E" w:rsidRPr="0026308E" w:rsidRDefault="0026308E" w:rsidP="0026308E">
      <w:pPr>
        <w:rPr>
          <w:b/>
          <w:sz w:val="28"/>
        </w:rPr>
      </w:pPr>
      <w:r w:rsidRPr="0026308E">
        <w:rPr>
          <w:b/>
          <w:sz w:val="28"/>
        </w:rPr>
        <w:lastRenderedPageBreak/>
        <w:t>Foreword</w:t>
      </w:r>
    </w:p>
    <w:p w:rsidR="0026308E" w:rsidRPr="0026308E" w:rsidRDefault="0026308E" w:rsidP="0026308E">
      <w:pPr>
        <w:spacing w:after="0" w:line="240" w:lineRule="auto"/>
        <w:jc w:val="both"/>
        <w:rPr>
          <w:sz w:val="24"/>
        </w:rPr>
      </w:pPr>
      <w:r w:rsidRPr="0026308E">
        <w:rPr>
          <w:sz w:val="24"/>
        </w:rPr>
        <w:t xml:space="preserve">We're Norfolk and Waveney Mind, your local Mind mental health charity offering an extensive range of mental health services, along with associated training, advice and information. </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We offer a wide range of services including 1:1 talking therapies, gardening projects, access to employment services, mental health training and education for businesses, schools and individuals, residential care and support programmes.</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We also work in our communities to raise awareness and challenge stigma and discrimination.  Our services support young people aged 14-25, adults and carers affected by mental ill health.</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As a local Mind, we are an independent charity - we raise our own funds and we have our own Board of Trustees who are responsible for how we’re run.</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Being local, we understand our community and tailor our services in response to what people need most.</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Being part of the Mind network means we benefit from shared support, knowledge and ideas. Nationally, Mind gives advice and support to anyone who needs it, campaigns to improve services and raise awareness.</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We work in partnership with Mind nationally and the other local Minds in our network to deliver high quality services to anyone who needs them.</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i/>
          <w:sz w:val="24"/>
        </w:rPr>
      </w:pPr>
      <w:r w:rsidRPr="0026308E">
        <w:rPr>
          <w:i/>
          <w:sz w:val="24"/>
        </w:rPr>
        <w:t>Vision</w:t>
      </w:r>
    </w:p>
    <w:p w:rsidR="0026308E" w:rsidRPr="0026308E" w:rsidRDefault="0026308E" w:rsidP="0026308E">
      <w:pPr>
        <w:spacing w:after="0" w:line="240" w:lineRule="auto"/>
        <w:jc w:val="both"/>
        <w:rPr>
          <w:sz w:val="24"/>
        </w:rPr>
      </w:pPr>
      <w:r w:rsidRPr="0026308E">
        <w:rPr>
          <w:sz w:val="24"/>
        </w:rPr>
        <w:t>All people are supported with their mental health to live a life that is meaningful to them.</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i/>
          <w:sz w:val="24"/>
        </w:rPr>
      </w:pPr>
      <w:r w:rsidRPr="0026308E">
        <w:rPr>
          <w:i/>
          <w:sz w:val="24"/>
        </w:rPr>
        <w:t>Ambition Statement</w:t>
      </w:r>
    </w:p>
    <w:p w:rsidR="0026308E" w:rsidRPr="0026308E" w:rsidRDefault="0026308E" w:rsidP="0026308E">
      <w:pPr>
        <w:spacing w:after="0" w:line="240" w:lineRule="auto"/>
        <w:jc w:val="both"/>
        <w:rPr>
          <w:sz w:val="24"/>
        </w:rPr>
      </w:pPr>
      <w:r w:rsidRPr="0026308E">
        <w:rPr>
          <w:sz w:val="24"/>
        </w:rPr>
        <w:t>No one should have to face poor mental health alone and that with the right support and resources anybody can create a life that feels meaningful to them.</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i/>
          <w:sz w:val="24"/>
        </w:rPr>
      </w:pPr>
      <w:r w:rsidRPr="0026308E">
        <w:rPr>
          <w:i/>
          <w:sz w:val="24"/>
        </w:rPr>
        <w:t>Our Purpose</w:t>
      </w:r>
    </w:p>
    <w:p w:rsidR="0026308E" w:rsidRPr="0026308E" w:rsidRDefault="0026308E" w:rsidP="0026308E">
      <w:pPr>
        <w:spacing w:after="0" w:line="240" w:lineRule="auto"/>
        <w:jc w:val="both"/>
        <w:rPr>
          <w:sz w:val="24"/>
        </w:rPr>
      </w:pPr>
      <w:r w:rsidRPr="0026308E">
        <w:rPr>
          <w:sz w:val="24"/>
        </w:rPr>
        <w:t>We promote well-being and work to reduce poor mental health and the stigma associated with it.</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We support people in their recovery and champion better services for all.</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To do this we share our own stories, insights and expertise.</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b/>
          <w:sz w:val="24"/>
        </w:rPr>
      </w:pPr>
      <w:r w:rsidRPr="0026308E">
        <w:rPr>
          <w:b/>
          <w:sz w:val="24"/>
        </w:rPr>
        <w:t>Mind Quality Mark</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Norfolk and Waveney Mind has been awarded the Mind Quality Mark (MQM). The MQM is a robust quality assurance framework created by Mind, the mental health charity.</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MQM sets out the baseline of best practice and legal compliance in all areas of a local Mind's governance and activities. To achieve the MQM, a local Mind must meet or exceed all 24 key standards.</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As a Local Mind we undergo a rigorous assessment which includes a thorough appraisal of organisational policies and procedures as well as a visit and interviews with trustees, staff, volunteers and people who use services. MQM is awarded when all standards are fully met.</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r w:rsidRPr="0026308E">
        <w:rPr>
          <w:sz w:val="24"/>
        </w:rPr>
        <w:t>The MQM provides assurance that local Minds across England and Wales are well-run organisations who meet Mind’s expectations of good practice, and in many cases excel beyond those expectations. It provides assurance that they are healthy, ambitious and strong in providing the highest quality support to people experiencing or at risk of developing mental health problems.</w:t>
      </w: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sz w:val="24"/>
        </w:rPr>
      </w:pPr>
    </w:p>
    <w:p w:rsidR="0026308E" w:rsidRPr="0026308E" w:rsidRDefault="0026308E" w:rsidP="0026308E">
      <w:pPr>
        <w:spacing w:after="0" w:line="240" w:lineRule="auto"/>
        <w:jc w:val="both"/>
        <w:rPr>
          <w:b/>
          <w:sz w:val="24"/>
        </w:rPr>
      </w:pPr>
      <w:r w:rsidRPr="0026308E">
        <w:rPr>
          <w:b/>
          <w:sz w:val="24"/>
        </w:rPr>
        <w:t>Our Governance</w:t>
      </w:r>
    </w:p>
    <w:p w:rsidR="0026308E" w:rsidRPr="0026308E" w:rsidRDefault="0026308E" w:rsidP="0026308E">
      <w:pPr>
        <w:spacing w:after="0" w:line="240" w:lineRule="auto"/>
        <w:jc w:val="both"/>
        <w:rPr>
          <w:sz w:val="24"/>
        </w:rPr>
      </w:pPr>
    </w:p>
    <w:p w:rsidR="0026308E" w:rsidRDefault="0026308E" w:rsidP="0026308E">
      <w:pPr>
        <w:spacing w:after="0" w:line="240" w:lineRule="auto"/>
        <w:jc w:val="both"/>
        <w:rPr>
          <w:sz w:val="24"/>
        </w:rPr>
      </w:pPr>
      <w:r w:rsidRPr="0026308E">
        <w:rPr>
          <w:sz w:val="24"/>
        </w:rPr>
        <w:t>We are governed, led and managed to the highest standards, ensuring compliance with quality, legal and safeguarding requirements in accordance with our Memorandum of Association and Articles of Association, Charity Commission and Company law.</w:t>
      </w:r>
    </w:p>
    <w:p w:rsidR="002109E7" w:rsidRDefault="002109E7" w:rsidP="0026308E">
      <w:pPr>
        <w:spacing w:after="0" w:line="240" w:lineRule="auto"/>
        <w:jc w:val="both"/>
        <w:rPr>
          <w:sz w:val="24"/>
        </w:rPr>
      </w:pPr>
    </w:p>
    <w:p w:rsidR="002109E7" w:rsidRDefault="002109E7" w:rsidP="0026308E">
      <w:pPr>
        <w:spacing w:after="0" w:line="240" w:lineRule="auto"/>
        <w:jc w:val="both"/>
        <w:rPr>
          <w:sz w:val="24"/>
        </w:rPr>
      </w:pPr>
      <w:r>
        <w:rPr>
          <w:sz w:val="24"/>
        </w:rPr>
        <w:t xml:space="preserve">8.83% of the workforce </w:t>
      </w:r>
      <w:r w:rsidR="00D47245">
        <w:rPr>
          <w:sz w:val="24"/>
        </w:rPr>
        <w:t>chose not to disclose their gender.</w:t>
      </w:r>
    </w:p>
    <w:p w:rsidR="00D47245" w:rsidRDefault="00D47245" w:rsidP="0026308E">
      <w:pPr>
        <w:spacing w:after="0" w:line="240" w:lineRule="auto"/>
        <w:jc w:val="both"/>
        <w:rPr>
          <w:sz w:val="24"/>
        </w:rPr>
      </w:pPr>
    </w:p>
    <w:p w:rsidR="00D47245" w:rsidRDefault="00D47245">
      <w:pPr>
        <w:rPr>
          <w:sz w:val="24"/>
        </w:rPr>
      </w:pPr>
      <w:r>
        <w:rPr>
          <w:sz w:val="24"/>
        </w:rPr>
        <w:br w:type="page"/>
      </w:r>
    </w:p>
    <w:p w:rsidR="00D47245" w:rsidRPr="00D47245" w:rsidRDefault="00D47245" w:rsidP="00D47245">
      <w:pPr>
        <w:spacing w:after="0" w:line="240" w:lineRule="auto"/>
        <w:jc w:val="both"/>
        <w:rPr>
          <w:b/>
          <w:sz w:val="24"/>
        </w:rPr>
      </w:pPr>
      <w:r w:rsidRPr="00D47245">
        <w:rPr>
          <w:b/>
          <w:sz w:val="24"/>
        </w:rPr>
        <w:t>Gender Pay Gap vs Equal Pay</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sz w:val="24"/>
        </w:rPr>
      </w:pPr>
      <w:r w:rsidRPr="00D47245">
        <w:rPr>
          <w:sz w:val="24"/>
        </w:rPr>
        <w:t>The Equality &amp; Human Rights commission outlines the differences between these two terms:</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sz w:val="24"/>
        </w:rPr>
      </w:pPr>
      <w:r w:rsidRPr="00D47245">
        <w:rPr>
          <w:sz w:val="24"/>
        </w:rPr>
        <w:t>Whilst both equal pay and the gender pay gap deal with the disparity of pay women receive in the workplace, they are two different issues:</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ind w:left="851" w:hanging="284"/>
        <w:jc w:val="both"/>
        <w:rPr>
          <w:sz w:val="24"/>
        </w:rPr>
      </w:pPr>
      <w:r w:rsidRPr="00D47245">
        <w:rPr>
          <w:sz w:val="24"/>
        </w:rPr>
        <w:t>1.</w:t>
      </w:r>
      <w:r w:rsidRPr="00D47245">
        <w:rPr>
          <w:sz w:val="24"/>
        </w:rPr>
        <w:tab/>
        <w:t>Equal pay means that men and women in the same employment, performing equal work must receive equal pay, as set out in the Equality Act 2010.</w:t>
      </w:r>
    </w:p>
    <w:p w:rsidR="00D47245" w:rsidRPr="00D47245" w:rsidRDefault="00D47245" w:rsidP="00D47245">
      <w:pPr>
        <w:spacing w:after="0" w:line="240" w:lineRule="auto"/>
        <w:ind w:left="851" w:hanging="284"/>
        <w:jc w:val="both"/>
        <w:rPr>
          <w:sz w:val="24"/>
        </w:rPr>
      </w:pPr>
      <w:r w:rsidRPr="00D47245">
        <w:rPr>
          <w:sz w:val="24"/>
        </w:rPr>
        <w:t>2.</w:t>
      </w:r>
      <w:r w:rsidRPr="00D47245">
        <w:rPr>
          <w:sz w:val="24"/>
        </w:rPr>
        <w:tab/>
        <w:t>The gender pay gap is a measure of the difference between men and women’s average earnings across an organisation or the labour market.  It is expressed as a percentage of men’s earnings.”</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sz w:val="24"/>
        </w:rPr>
      </w:pPr>
      <w:r w:rsidRPr="00D47245">
        <w:rPr>
          <w:sz w:val="24"/>
        </w:rPr>
        <w:t xml:space="preserve">Equal pay is unlawful and gender pay is not.  This is due to the cause of a gender pay gap not falling within the direct control of an employer.  Norfolk and Waveney </w:t>
      </w:r>
      <w:proofErr w:type="gramStart"/>
      <w:r w:rsidRPr="00D47245">
        <w:rPr>
          <w:sz w:val="24"/>
        </w:rPr>
        <w:t>Mind</w:t>
      </w:r>
      <w:proofErr w:type="gramEnd"/>
      <w:r w:rsidRPr="00D47245">
        <w:rPr>
          <w:sz w:val="24"/>
        </w:rPr>
        <w:t xml:space="preserve"> ensures it does not engage in any practices that breach equal pay legislation.  Gender Equality is an issue that will be tackled by going far beyond legislative compliance.  Addressing the Gender Pay Gap is part of this.</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b/>
          <w:sz w:val="24"/>
        </w:rPr>
      </w:pPr>
      <w:r w:rsidRPr="00D47245">
        <w:rPr>
          <w:b/>
          <w:sz w:val="24"/>
        </w:rPr>
        <w:t>Statutory Information: Bonus Data</w:t>
      </w:r>
    </w:p>
    <w:p w:rsidR="00D47245" w:rsidRPr="00D47245" w:rsidRDefault="00D47245" w:rsidP="00D47245">
      <w:pPr>
        <w:spacing w:after="0" w:line="240" w:lineRule="auto"/>
        <w:jc w:val="both"/>
        <w:rPr>
          <w:sz w:val="24"/>
        </w:rPr>
      </w:pPr>
    </w:p>
    <w:p w:rsidR="00D47245" w:rsidRPr="00D47245" w:rsidRDefault="00D47245" w:rsidP="00D47245">
      <w:pPr>
        <w:spacing w:after="0" w:line="240" w:lineRule="auto"/>
        <w:jc w:val="both"/>
        <w:rPr>
          <w:sz w:val="24"/>
        </w:rPr>
      </w:pPr>
      <w:r w:rsidRPr="00D47245">
        <w:rPr>
          <w:sz w:val="24"/>
        </w:rPr>
        <w:t xml:space="preserve">As part of the mandatory reporting process, employers are required to publish the gender pay gap within their bonuses.  At Norfolk and Waveney Mind, bonuses are not awarded and therefore it is not possible to report a bonus gender pay gap. </w:t>
      </w:r>
    </w:p>
    <w:p w:rsidR="00D47245" w:rsidRPr="00D47245" w:rsidRDefault="00D47245" w:rsidP="00D47245">
      <w:pPr>
        <w:spacing w:after="0" w:line="240" w:lineRule="auto"/>
        <w:jc w:val="both"/>
        <w:rPr>
          <w:sz w:val="24"/>
        </w:rPr>
      </w:pPr>
    </w:p>
    <w:p w:rsidR="00D47245" w:rsidRDefault="00D47245">
      <w:pPr>
        <w:rPr>
          <w:sz w:val="24"/>
        </w:rPr>
      </w:pPr>
      <w:r>
        <w:rPr>
          <w:sz w:val="24"/>
        </w:rPr>
        <w:br w:type="page"/>
      </w:r>
    </w:p>
    <w:p w:rsidR="00D47245" w:rsidRDefault="00D47245" w:rsidP="0026308E">
      <w:pPr>
        <w:spacing w:after="0" w:line="240" w:lineRule="auto"/>
        <w:jc w:val="both"/>
        <w:rPr>
          <w:b/>
          <w:sz w:val="24"/>
        </w:rPr>
      </w:pPr>
      <w:r w:rsidRPr="00D47245">
        <w:rPr>
          <w:b/>
          <w:sz w:val="24"/>
        </w:rPr>
        <w:t>Gender Breakdown</w:t>
      </w:r>
    </w:p>
    <w:p w:rsidR="00F53617" w:rsidRDefault="00F53617" w:rsidP="0026308E">
      <w:pPr>
        <w:spacing w:after="0" w:line="240" w:lineRule="auto"/>
        <w:jc w:val="both"/>
        <w:rPr>
          <w:b/>
          <w:sz w:val="24"/>
        </w:rPr>
      </w:pPr>
    </w:p>
    <w:p w:rsidR="00F53617" w:rsidRDefault="00F53617" w:rsidP="0026308E">
      <w:pPr>
        <w:spacing w:after="0" w:line="240" w:lineRule="auto"/>
        <w:jc w:val="both"/>
        <w:rPr>
          <w:b/>
          <w:sz w:val="24"/>
        </w:rPr>
      </w:pPr>
      <w:r>
        <w:rPr>
          <w:b/>
          <w:sz w:val="24"/>
        </w:rPr>
        <w:t>Company Breakdown</w:t>
      </w:r>
    </w:p>
    <w:p w:rsidR="00645468" w:rsidRDefault="00645468" w:rsidP="0026308E">
      <w:pPr>
        <w:spacing w:after="0" w:line="240" w:lineRule="auto"/>
        <w:jc w:val="both"/>
        <w:rPr>
          <w:b/>
          <w:sz w:val="24"/>
        </w:rPr>
      </w:pPr>
    </w:p>
    <w:p w:rsidR="00645468" w:rsidRPr="00645468" w:rsidRDefault="00645468" w:rsidP="0026308E">
      <w:pPr>
        <w:spacing w:after="0" w:line="240" w:lineRule="auto"/>
        <w:jc w:val="both"/>
        <w:rPr>
          <w:sz w:val="24"/>
        </w:rPr>
      </w:pPr>
      <w:r w:rsidRPr="00645468">
        <w:rPr>
          <w:sz w:val="24"/>
        </w:rPr>
        <w:t>The organisation is highly dominated by female employees</w:t>
      </w:r>
    </w:p>
    <w:p w:rsidR="00D47245" w:rsidRDefault="00D47245" w:rsidP="0026308E">
      <w:pPr>
        <w:spacing w:after="0" w:line="240" w:lineRule="auto"/>
        <w:jc w:val="both"/>
        <w:rPr>
          <w:sz w:val="24"/>
        </w:rPr>
      </w:pPr>
    </w:p>
    <w:p w:rsidR="00D47245" w:rsidRDefault="00430F8C" w:rsidP="0026308E">
      <w:pPr>
        <w:spacing w:after="0" w:line="240" w:lineRule="auto"/>
        <w:jc w:val="both"/>
        <w:rPr>
          <w:sz w:val="24"/>
        </w:rPr>
      </w:pPr>
      <w:r>
        <w:rPr>
          <w:noProof/>
        </w:rPr>
        <w:drawing>
          <wp:inline distT="0" distB="0" distL="0" distR="0" wp14:anchorId="3431F472" wp14:editId="7B7B962C">
            <wp:extent cx="3924300" cy="2225040"/>
            <wp:effectExtent l="0" t="0" r="0" b="3810"/>
            <wp:docPr id="3" name="Chart 3">
              <a:extLst xmlns:a="http://schemas.openxmlformats.org/drawingml/2006/main">
                <a:ext uri="{FF2B5EF4-FFF2-40B4-BE49-F238E27FC236}">
                  <a16:creationId xmlns:a16="http://schemas.microsoft.com/office/drawing/2014/main" id="{CF0B551D-4E30-4590-8847-E4B344BC2D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3617" w:rsidRDefault="00F53617" w:rsidP="0026308E">
      <w:pPr>
        <w:spacing w:after="0" w:line="240" w:lineRule="auto"/>
        <w:jc w:val="both"/>
        <w:rPr>
          <w:sz w:val="24"/>
        </w:rPr>
      </w:pPr>
    </w:p>
    <w:p w:rsidR="00F53617" w:rsidRPr="00F53617" w:rsidRDefault="00F53617" w:rsidP="0026308E">
      <w:pPr>
        <w:spacing w:after="0" w:line="240" w:lineRule="auto"/>
        <w:jc w:val="both"/>
        <w:rPr>
          <w:rFonts w:cstheme="minorHAnsi"/>
          <w:sz w:val="24"/>
        </w:rPr>
      </w:pPr>
    </w:p>
    <w:p w:rsidR="00F53617" w:rsidRDefault="00F53617" w:rsidP="0026308E">
      <w:pPr>
        <w:spacing w:after="0" w:line="240" w:lineRule="auto"/>
        <w:jc w:val="both"/>
        <w:rPr>
          <w:rFonts w:cstheme="minorHAnsi"/>
          <w:b/>
          <w:sz w:val="24"/>
        </w:rPr>
      </w:pPr>
      <w:r w:rsidRPr="00F53617">
        <w:rPr>
          <w:rFonts w:cstheme="minorHAnsi"/>
          <w:b/>
          <w:sz w:val="24"/>
        </w:rPr>
        <w:t xml:space="preserve">Percentage of Men and Women in each Hourly Pay Quarter </w:t>
      </w:r>
    </w:p>
    <w:p w:rsidR="00C25688" w:rsidRDefault="00C25688" w:rsidP="0026308E">
      <w:pPr>
        <w:spacing w:after="0" w:line="240" w:lineRule="auto"/>
        <w:jc w:val="both"/>
        <w:rPr>
          <w:rFonts w:cstheme="minorHAnsi"/>
          <w:b/>
          <w:sz w:val="24"/>
        </w:rPr>
      </w:pPr>
    </w:p>
    <w:p w:rsidR="00C25688" w:rsidRDefault="00C25688" w:rsidP="0026308E">
      <w:pPr>
        <w:spacing w:after="0" w:line="240" w:lineRule="auto"/>
        <w:jc w:val="both"/>
        <w:rPr>
          <w:rFonts w:cstheme="minorHAnsi"/>
          <w:b/>
          <w:sz w:val="24"/>
        </w:rPr>
      </w:pPr>
      <w:r>
        <w:rPr>
          <w:rFonts w:cstheme="minorHAnsi"/>
          <w:b/>
          <w:sz w:val="24"/>
        </w:rPr>
        <w:t>The quartiles are as follows:</w:t>
      </w:r>
    </w:p>
    <w:p w:rsidR="00C25688" w:rsidRPr="00C25688" w:rsidRDefault="00C25688" w:rsidP="00C25688">
      <w:pPr>
        <w:numPr>
          <w:ilvl w:val="0"/>
          <w:numId w:val="6"/>
        </w:numPr>
        <w:shd w:val="clear" w:color="auto" w:fill="FFFFFF"/>
        <w:tabs>
          <w:tab w:val="clear" w:pos="720"/>
          <w:tab w:val="num" w:pos="567"/>
        </w:tabs>
        <w:spacing w:after="75" w:line="240" w:lineRule="auto"/>
        <w:ind w:left="300" w:hanging="16"/>
        <w:rPr>
          <w:rFonts w:eastAsia="Times New Roman" w:cstheme="minorHAnsi"/>
          <w:color w:val="0B0C0C"/>
          <w:sz w:val="24"/>
          <w:szCs w:val="24"/>
          <w:lang w:eastAsia="en-GB"/>
        </w:rPr>
      </w:pPr>
      <w:r w:rsidRPr="00C25688">
        <w:rPr>
          <w:rFonts w:eastAsia="Times New Roman" w:cstheme="minorHAnsi"/>
          <w:color w:val="0B0C0C"/>
          <w:sz w:val="24"/>
          <w:szCs w:val="24"/>
          <w:lang w:eastAsia="en-GB"/>
        </w:rPr>
        <w:t>upper hourly pay quarter</w:t>
      </w:r>
    </w:p>
    <w:p w:rsidR="00C25688" w:rsidRPr="00C25688" w:rsidRDefault="00C25688" w:rsidP="00C25688">
      <w:pPr>
        <w:numPr>
          <w:ilvl w:val="0"/>
          <w:numId w:val="6"/>
        </w:numPr>
        <w:shd w:val="clear" w:color="auto" w:fill="FFFFFF"/>
        <w:tabs>
          <w:tab w:val="clear" w:pos="720"/>
          <w:tab w:val="num" w:pos="567"/>
        </w:tabs>
        <w:spacing w:after="75" w:line="240" w:lineRule="auto"/>
        <w:ind w:left="300" w:hanging="16"/>
        <w:rPr>
          <w:rFonts w:eastAsia="Times New Roman" w:cstheme="minorHAnsi"/>
          <w:color w:val="0B0C0C"/>
          <w:sz w:val="24"/>
          <w:szCs w:val="24"/>
          <w:lang w:eastAsia="en-GB"/>
        </w:rPr>
      </w:pPr>
      <w:r w:rsidRPr="00C25688">
        <w:rPr>
          <w:rFonts w:eastAsia="Times New Roman" w:cstheme="minorHAnsi"/>
          <w:color w:val="0B0C0C"/>
          <w:sz w:val="24"/>
          <w:szCs w:val="24"/>
          <w:lang w:eastAsia="en-GB"/>
        </w:rPr>
        <w:t>upper middle hourly pay quarter</w:t>
      </w:r>
    </w:p>
    <w:p w:rsidR="00C25688" w:rsidRPr="00C25688" w:rsidRDefault="00C25688" w:rsidP="00C25688">
      <w:pPr>
        <w:numPr>
          <w:ilvl w:val="0"/>
          <w:numId w:val="6"/>
        </w:numPr>
        <w:shd w:val="clear" w:color="auto" w:fill="FFFFFF"/>
        <w:tabs>
          <w:tab w:val="clear" w:pos="720"/>
          <w:tab w:val="num" w:pos="567"/>
        </w:tabs>
        <w:spacing w:after="75" w:line="240" w:lineRule="auto"/>
        <w:ind w:left="300" w:hanging="16"/>
        <w:rPr>
          <w:rFonts w:eastAsia="Times New Roman" w:cstheme="minorHAnsi"/>
          <w:color w:val="0B0C0C"/>
          <w:sz w:val="24"/>
          <w:szCs w:val="24"/>
          <w:lang w:eastAsia="en-GB"/>
        </w:rPr>
      </w:pPr>
      <w:r w:rsidRPr="00C25688">
        <w:rPr>
          <w:rFonts w:eastAsia="Times New Roman" w:cstheme="minorHAnsi"/>
          <w:color w:val="0B0C0C"/>
          <w:sz w:val="24"/>
          <w:szCs w:val="24"/>
          <w:lang w:eastAsia="en-GB"/>
        </w:rPr>
        <w:t>lower middle hourly pay quarter</w:t>
      </w:r>
    </w:p>
    <w:p w:rsidR="00C25688" w:rsidRPr="00C25688" w:rsidRDefault="00C25688" w:rsidP="00C25688">
      <w:pPr>
        <w:numPr>
          <w:ilvl w:val="0"/>
          <w:numId w:val="6"/>
        </w:numPr>
        <w:shd w:val="clear" w:color="auto" w:fill="FFFFFF"/>
        <w:tabs>
          <w:tab w:val="clear" w:pos="720"/>
          <w:tab w:val="num" w:pos="567"/>
        </w:tabs>
        <w:spacing w:after="75" w:line="240" w:lineRule="auto"/>
        <w:ind w:left="300" w:hanging="16"/>
        <w:rPr>
          <w:rFonts w:eastAsia="Times New Roman" w:cstheme="minorHAnsi"/>
          <w:color w:val="0B0C0C"/>
          <w:sz w:val="24"/>
          <w:szCs w:val="24"/>
          <w:lang w:eastAsia="en-GB"/>
        </w:rPr>
      </w:pPr>
      <w:r w:rsidRPr="00C25688">
        <w:rPr>
          <w:rFonts w:eastAsia="Times New Roman" w:cstheme="minorHAnsi"/>
          <w:color w:val="0B0C0C"/>
          <w:sz w:val="24"/>
          <w:szCs w:val="24"/>
          <w:lang w:eastAsia="en-GB"/>
        </w:rPr>
        <w:t>lower hourly pay quarter</w:t>
      </w:r>
    </w:p>
    <w:p w:rsidR="00C25688" w:rsidRPr="00F53617" w:rsidRDefault="00C25688" w:rsidP="0026308E">
      <w:pPr>
        <w:spacing w:after="0" w:line="240" w:lineRule="auto"/>
        <w:jc w:val="both"/>
        <w:rPr>
          <w:rFonts w:cstheme="minorHAnsi"/>
          <w:b/>
          <w:sz w:val="24"/>
        </w:rPr>
      </w:pPr>
    </w:p>
    <w:p w:rsidR="00F53617" w:rsidRPr="00F53617" w:rsidRDefault="00F53617" w:rsidP="0026308E">
      <w:pPr>
        <w:spacing w:after="0" w:line="240" w:lineRule="auto"/>
        <w:jc w:val="both"/>
        <w:rPr>
          <w:rFonts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gridCol w:w="3006"/>
      </w:tblGrid>
      <w:tr w:rsidR="00F53617" w:rsidRPr="00F53617" w:rsidTr="00C25688">
        <w:tc>
          <w:tcPr>
            <w:tcW w:w="1980" w:type="dxa"/>
          </w:tcPr>
          <w:p w:rsidR="00F53617" w:rsidRPr="00F53617" w:rsidRDefault="00F53617" w:rsidP="0026308E">
            <w:pPr>
              <w:jc w:val="both"/>
              <w:rPr>
                <w:rFonts w:cstheme="minorHAnsi"/>
                <w:b/>
                <w:sz w:val="24"/>
              </w:rPr>
            </w:pPr>
          </w:p>
        </w:tc>
        <w:tc>
          <w:tcPr>
            <w:tcW w:w="1417" w:type="dxa"/>
          </w:tcPr>
          <w:p w:rsidR="00F53617" w:rsidRPr="00F53617" w:rsidRDefault="00F53617" w:rsidP="0026308E">
            <w:pPr>
              <w:jc w:val="both"/>
              <w:rPr>
                <w:rFonts w:cstheme="minorHAnsi"/>
                <w:b/>
                <w:sz w:val="24"/>
              </w:rPr>
            </w:pPr>
            <w:r w:rsidRPr="00F53617">
              <w:rPr>
                <w:rFonts w:cstheme="minorHAnsi"/>
                <w:b/>
                <w:sz w:val="24"/>
              </w:rPr>
              <w:t>Female</w:t>
            </w:r>
          </w:p>
        </w:tc>
        <w:tc>
          <w:tcPr>
            <w:tcW w:w="3006" w:type="dxa"/>
          </w:tcPr>
          <w:p w:rsidR="00F53617" w:rsidRPr="00F53617" w:rsidRDefault="00F53617" w:rsidP="0026308E">
            <w:pPr>
              <w:jc w:val="both"/>
              <w:rPr>
                <w:rFonts w:cstheme="minorHAnsi"/>
                <w:b/>
                <w:sz w:val="24"/>
              </w:rPr>
            </w:pPr>
            <w:r w:rsidRPr="00F53617">
              <w:rPr>
                <w:rFonts w:cstheme="minorHAnsi"/>
                <w:b/>
                <w:sz w:val="24"/>
              </w:rPr>
              <w:t>Male</w:t>
            </w:r>
          </w:p>
        </w:tc>
      </w:tr>
      <w:tr w:rsidR="00F53617" w:rsidRPr="00F53617" w:rsidTr="00C25688">
        <w:tc>
          <w:tcPr>
            <w:tcW w:w="1980" w:type="dxa"/>
          </w:tcPr>
          <w:p w:rsidR="00F53617" w:rsidRPr="00C25688" w:rsidRDefault="00F53617" w:rsidP="00C25688">
            <w:pPr>
              <w:pStyle w:val="ListParagraph"/>
              <w:numPr>
                <w:ilvl w:val="0"/>
                <w:numId w:val="5"/>
              </w:numPr>
              <w:ind w:left="318" w:hanging="318"/>
              <w:jc w:val="both"/>
              <w:rPr>
                <w:rFonts w:cstheme="minorHAnsi"/>
                <w:b/>
                <w:sz w:val="24"/>
              </w:rPr>
            </w:pPr>
            <w:r w:rsidRPr="00C25688">
              <w:rPr>
                <w:rFonts w:cstheme="minorHAnsi"/>
                <w:b/>
                <w:sz w:val="24"/>
              </w:rPr>
              <w:t>Quarter 1</w:t>
            </w:r>
          </w:p>
        </w:tc>
        <w:tc>
          <w:tcPr>
            <w:tcW w:w="1417" w:type="dxa"/>
          </w:tcPr>
          <w:p w:rsidR="00F53617" w:rsidRPr="00C25688" w:rsidRDefault="00F53617" w:rsidP="00C25688">
            <w:pPr>
              <w:ind w:left="360" w:hanging="321"/>
              <w:jc w:val="both"/>
              <w:rPr>
                <w:rFonts w:cstheme="minorHAnsi"/>
              </w:rPr>
            </w:pPr>
            <w:r w:rsidRPr="00C25688">
              <w:rPr>
                <w:rFonts w:cstheme="minorHAnsi"/>
              </w:rPr>
              <w:t>70%</w:t>
            </w:r>
          </w:p>
        </w:tc>
        <w:tc>
          <w:tcPr>
            <w:tcW w:w="3006" w:type="dxa"/>
          </w:tcPr>
          <w:p w:rsidR="00F53617" w:rsidRPr="00C25688" w:rsidRDefault="00F53617" w:rsidP="00C25688">
            <w:pPr>
              <w:ind w:left="360" w:hanging="321"/>
              <w:jc w:val="both"/>
              <w:rPr>
                <w:rFonts w:cstheme="minorHAnsi"/>
              </w:rPr>
            </w:pPr>
            <w:r w:rsidRPr="00C25688">
              <w:rPr>
                <w:rFonts w:cstheme="minorHAnsi"/>
              </w:rPr>
              <w:t>30%</w:t>
            </w:r>
          </w:p>
        </w:tc>
      </w:tr>
      <w:tr w:rsidR="00F53617" w:rsidRPr="00F53617" w:rsidTr="00C25688">
        <w:tc>
          <w:tcPr>
            <w:tcW w:w="1980" w:type="dxa"/>
          </w:tcPr>
          <w:p w:rsidR="00F53617" w:rsidRPr="00C25688" w:rsidRDefault="00F53617" w:rsidP="00C25688">
            <w:pPr>
              <w:pStyle w:val="ListParagraph"/>
              <w:numPr>
                <w:ilvl w:val="0"/>
                <w:numId w:val="5"/>
              </w:numPr>
              <w:ind w:left="318" w:hanging="318"/>
              <w:jc w:val="both"/>
              <w:rPr>
                <w:rFonts w:cstheme="minorHAnsi"/>
                <w:b/>
                <w:sz w:val="24"/>
              </w:rPr>
            </w:pPr>
            <w:r w:rsidRPr="00C25688">
              <w:rPr>
                <w:rFonts w:cstheme="minorHAnsi"/>
                <w:b/>
                <w:sz w:val="24"/>
              </w:rPr>
              <w:t>Quarter 2</w:t>
            </w:r>
          </w:p>
        </w:tc>
        <w:tc>
          <w:tcPr>
            <w:tcW w:w="1417" w:type="dxa"/>
          </w:tcPr>
          <w:p w:rsidR="00F53617" w:rsidRPr="00C25688" w:rsidRDefault="00F53617" w:rsidP="00C25688">
            <w:pPr>
              <w:ind w:left="360" w:hanging="321"/>
              <w:jc w:val="both"/>
              <w:rPr>
                <w:rFonts w:cstheme="minorHAnsi"/>
              </w:rPr>
            </w:pPr>
            <w:r w:rsidRPr="00C25688">
              <w:rPr>
                <w:rFonts w:cstheme="minorHAnsi"/>
              </w:rPr>
              <w:t>81%</w:t>
            </w:r>
          </w:p>
        </w:tc>
        <w:tc>
          <w:tcPr>
            <w:tcW w:w="3006" w:type="dxa"/>
          </w:tcPr>
          <w:p w:rsidR="00F53617" w:rsidRPr="00C25688" w:rsidRDefault="00F53617" w:rsidP="00C25688">
            <w:pPr>
              <w:ind w:left="360" w:hanging="321"/>
              <w:jc w:val="both"/>
              <w:rPr>
                <w:rFonts w:cstheme="minorHAnsi"/>
              </w:rPr>
            </w:pPr>
            <w:r w:rsidRPr="00C25688">
              <w:rPr>
                <w:rFonts w:cstheme="minorHAnsi"/>
              </w:rPr>
              <w:t>19%</w:t>
            </w:r>
          </w:p>
        </w:tc>
      </w:tr>
      <w:tr w:rsidR="00F53617" w:rsidRPr="00F53617" w:rsidTr="00C25688">
        <w:tc>
          <w:tcPr>
            <w:tcW w:w="1980" w:type="dxa"/>
          </w:tcPr>
          <w:p w:rsidR="00F53617" w:rsidRPr="00C25688" w:rsidRDefault="00F53617" w:rsidP="00C25688">
            <w:pPr>
              <w:pStyle w:val="ListParagraph"/>
              <w:numPr>
                <w:ilvl w:val="0"/>
                <w:numId w:val="5"/>
              </w:numPr>
              <w:ind w:left="318" w:hanging="318"/>
              <w:jc w:val="both"/>
              <w:rPr>
                <w:rFonts w:cstheme="minorHAnsi"/>
                <w:b/>
                <w:sz w:val="24"/>
              </w:rPr>
            </w:pPr>
            <w:r w:rsidRPr="00C25688">
              <w:rPr>
                <w:rFonts w:cstheme="minorHAnsi"/>
                <w:b/>
                <w:sz w:val="24"/>
              </w:rPr>
              <w:t>Quarter 3</w:t>
            </w:r>
          </w:p>
        </w:tc>
        <w:tc>
          <w:tcPr>
            <w:tcW w:w="1417" w:type="dxa"/>
          </w:tcPr>
          <w:p w:rsidR="00F53617" w:rsidRPr="00C25688" w:rsidRDefault="00F53617" w:rsidP="00C25688">
            <w:pPr>
              <w:ind w:left="360" w:hanging="321"/>
              <w:jc w:val="both"/>
              <w:rPr>
                <w:rFonts w:cstheme="minorHAnsi"/>
              </w:rPr>
            </w:pPr>
            <w:r w:rsidRPr="00C25688">
              <w:rPr>
                <w:rFonts w:cstheme="minorHAnsi"/>
              </w:rPr>
              <w:t>84%</w:t>
            </w:r>
          </w:p>
        </w:tc>
        <w:tc>
          <w:tcPr>
            <w:tcW w:w="3006" w:type="dxa"/>
          </w:tcPr>
          <w:p w:rsidR="00F53617" w:rsidRPr="00C25688" w:rsidRDefault="00F53617" w:rsidP="00C25688">
            <w:pPr>
              <w:ind w:left="360" w:hanging="321"/>
              <w:jc w:val="both"/>
              <w:rPr>
                <w:rFonts w:cstheme="minorHAnsi"/>
              </w:rPr>
            </w:pPr>
            <w:r w:rsidRPr="00C25688">
              <w:rPr>
                <w:rFonts w:cstheme="minorHAnsi"/>
              </w:rPr>
              <w:t>16%</w:t>
            </w:r>
          </w:p>
        </w:tc>
      </w:tr>
      <w:tr w:rsidR="00F53617" w:rsidRPr="00F53617" w:rsidTr="00C25688">
        <w:tc>
          <w:tcPr>
            <w:tcW w:w="1980" w:type="dxa"/>
          </w:tcPr>
          <w:p w:rsidR="00F53617" w:rsidRPr="00C25688" w:rsidRDefault="00F53617" w:rsidP="00C25688">
            <w:pPr>
              <w:pStyle w:val="ListParagraph"/>
              <w:numPr>
                <w:ilvl w:val="0"/>
                <w:numId w:val="5"/>
              </w:numPr>
              <w:ind w:left="318" w:hanging="318"/>
              <w:jc w:val="both"/>
              <w:rPr>
                <w:rFonts w:cstheme="minorHAnsi"/>
                <w:b/>
                <w:sz w:val="24"/>
              </w:rPr>
            </w:pPr>
            <w:r w:rsidRPr="00C25688">
              <w:rPr>
                <w:rFonts w:cstheme="minorHAnsi"/>
                <w:b/>
                <w:sz w:val="24"/>
              </w:rPr>
              <w:t>Quarter 4</w:t>
            </w:r>
          </w:p>
        </w:tc>
        <w:tc>
          <w:tcPr>
            <w:tcW w:w="1417" w:type="dxa"/>
          </w:tcPr>
          <w:p w:rsidR="00F53617" w:rsidRPr="00C25688" w:rsidRDefault="00F53617" w:rsidP="00C25688">
            <w:pPr>
              <w:ind w:left="360" w:hanging="321"/>
              <w:jc w:val="both"/>
              <w:rPr>
                <w:rFonts w:cstheme="minorHAnsi"/>
              </w:rPr>
            </w:pPr>
            <w:r w:rsidRPr="00C25688">
              <w:rPr>
                <w:rFonts w:cstheme="minorHAnsi"/>
              </w:rPr>
              <w:t>68%</w:t>
            </w:r>
          </w:p>
        </w:tc>
        <w:tc>
          <w:tcPr>
            <w:tcW w:w="3006" w:type="dxa"/>
          </w:tcPr>
          <w:p w:rsidR="00F53617" w:rsidRPr="00C25688" w:rsidRDefault="00F53617" w:rsidP="00C25688">
            <w:pPr>
              <w:ind w:left="360" w:hanging="321"/>
              <w:jc w:val="both"/>
              <w:rPr>
                <w:rFonts w:cstheme="minorHAnsi"/>
              </w:rPr>
            </w:pPr>
            <w:r w:rsidRPr="00C25688">
              <w:rPr>
                <w:rFonts w:cstheme="minorHAnsi"/>
              </w:rPr>
              <w:t>32%</w:t>
            </w:r>
          </w:p>
        </w:tc>
      </w:tr>
    </w:tbl>
    <w:p w:rsidR="00F53617" w:rsidRDefault="00F53617" w:rsidP="0026308E">
      <w:pPr>
        <w:spacing w:after="0" w:line="240" w:lineRule="auto"/>
        <w:jc w:val="both"/>
        <w:rPr>
          <w:rFonts w:cstheme="minorHAnsi"/>
          <w:sz w:val="24"/>
        </w:rPr>
      </w:pPr>
    </w:p>
    <w:p w:rsidR="00F53617" w:rsidRDefault="00F53617" w:rsidP="0026308E">
      <w:pPr>
        <w:spacing w:after="0" w:line="240" w:lineRule="auto"/>
        <w:jc w:val="both"/>
        <w:rPr>
          <w:rFonts w:cstheme="minorHAnsi"/>
          <w:sz w:val="24"/>
        </w:rPr>
      </w:pPr>
    </w:p>
    <w:p w:rsidR="00F53617" w:rsidRDefault="00C25688" w:rsidP="0026308E">
      <w:pPr>
        <w:spacing w:after="0" w:line="240" w:lineRule="auto"/>
        <w:jc w:val="both"/>
        <w:rPr>
          <w:rFonts w:cstheme="minorHAnsi"/>
          <w:b/>
          <w:sz w:val="24"/>
        </w:rPr>
      </w:pPr>
      <w:r>
        <w:rPr>
          <w:rFonts w:cstheme="minorHAnsi"/>
          <w:b/>
          <w:sz w:val="24"/>
        </w:rPr>
        <w:t>M</w:t>
      </w:r>
      <w:r w:rsidR="00F53617" w:rsidRPr="00C25688">
        <w:rPr>
          <w:rFonts w:cstheme="minorHAnsi"/>
          <w:b/>
          <w:sz w:val="24"/>
        </w:rPr>
        <w:t xml:space="preserve">ean (average) </w:t>
      </w:r>
      <w:r>
        <w:rPr>
          <w:rFonts w:cstheme="minorHAnsi"/>
          <w:b/>
          <w:sz w:val="24"/>
        </w:rPr>
        <w:t>G</w:t>
      </w:r>
      <w:r w:rsidR="00F53617" w:rsidRPr="00C25688">
        <w:rPr>
          <w:rFonts w:cstheme="minorHAnsi"/>
          <w:b/>
          <w:sz w:val="24"/>
        </w:rPr>
        <w:t xml:space="preserve">ender </w:t>
      </w:r>
      <w:r>
        <w:rPr>
          <w:rFonts w:cstheme="minorHAnsi"/>
          <w:b/>
          <w:sz w:val="24"/>
        </w:rPr>
        <w:t>P</w:t>
      </w:r>
      <w:r w:rsidR="00F53617" w:rsidRPr="00C25688">
        <w:rPr>
          <w:rFonts w:cstheme="minorHAnsi"/>
          <w:b/>
          <w:sz w:val="24"/>
        </w:rPr>
        <w:t xml:space="preserve">ay </w:t>
      </w:r>
      <w:r>
        <w:rPr>
          <w:rFonts w:cstheme="minorHAnsi"/>
          <w:b/>
          <w:sz w:val="24"/>
        </w:rPr>
        <w:t>G</w:t>
      </w:r>
      <w:r w:rsidR="00F53617" w:rsidRPr="00C25688">
        <w:rPr>
          <w:rFonts w:cstheme="minorHAnsi"/>
          <w:b/>
          <w:sz w:val="24"/>
        </w:rPr>
        <w:t>ap for</w:t>
      </w:r>
      <w:r>
        <w:rPr>
          <w:rFonts w:cstheme="minorHAnsi"/>
          <w:b/>
          <w:sz w:val="24"/>
        </w:rPr>
        <w:t xml:space="preserve"> each</w:t>
      </w:r>
      <w:r w:rsidR="00F53617" w:rsidRPr="00C25688">
        <w:rPr>
          <w:rFonts w:cstheme="minorHAnsi"/>
          <w:b/>
          <w:sz w:val="24"/>
        </w:rPr>
        <w:t xml:space="preserve"> </w:t>
      </w:r>
      <w:r>
        <w:rPr>
          <w:rFonts w:cstheme="minorHAnsi"/>
          <w:b/>
          <w:sz w:val="24"/>
        </w:rPr>
        <w:t>H</w:t>
      </w:r>
      <w:r w:rsidR="00F53617" w:rsidRPr="00C25688">
        <w:rPr>
          <w:rFonts w:cstheme="minorHAnsi"/>
          <w:b/>
          <w:sz w:val="24"/>
        </w:rPr>
        <w:t xml:space="preserve">ourly </w:t>
      </w:r>
      <w:r>
        <w:rPr>
          <w:rFonts w:cstheme="minorHAnsi"/>
          <w:b/>
          <w:sz w:val="24"/>
        </w:rPr>
        <w:t>P</w:t>
      </w:r>
      <w:r w:rsidR="00F53617" w:rsidRPr="00C25688">
        <w:rPr>
          <w:rFonts w:cstheme="minorHAnsi"/>
          <w:b/>
          <w:sz w:val="24"/>
        </w:rPr>
        <w:t>ay</w:t>
      </w:r>
      <w:r w:rsidRPr="00C25688">
        <w:rPr>
          <w:rFonts w:cstheme="minorHAnsi"/>
          <w:b/>
          <w:sz w:val="24"/>
        </w:rPr>
        <w:t xml:space="preserve"> Quarter</w:t>
      </w:r>
      <w:bookmarkStart w:id="0" w:name="_GoBack"/>
      <w:bookmarkEnd w:id="0"/>
    </w:p>
    <w:p w:rsidR="00C25688" w:rsidRDefault="00C25688" w:rsidP="0026308E">
      <w:pPr>
        <w:spacing w:after="0" w:line="240" w:lineRule="auto"/>
        <w:jc w:val="both"/>
        <w:rPr>
          <w:rFonts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gridCol w:w="1423"/>
        <w:gridCol w:w="1423"/>
        <w:gridCol w:w="1423"/>
      </w:tblGrid>
      <w:tr w:rsidR="00C25688" w:rsidRPr="00F53617" w:rsidTr="002966CD">
        <w:tc>
          <w:tcPr>
            <w:tcW w:w="1980" w:type="dxa"/>
          </w:tcPr>
          <w:p w:rsidR="00C25688" w:rsidRPr="00F53617" w:rsidRDefault="00C25688" w:rsidP="00C549D5">
            <w:pPr>
              <w:jc w:val="both"/>
              <w:rPr>
                <w:rFonts w:cstheme="minorHAnsi"/>
                <w:b/>
                <w:sz w:val="24"/>
              </w:rPr>
            </w:pPr>
          </w:p>
        </w:tc>
        <w:tc>
          <w:tcPr>
            <w:tcW w:w="1417" w:type="dxa"/>
          </w:tcPr>
          <w:p w:rsidR="00C25688" w:rsidRPr="00F53617" w:rsidRDefault="00C25688" w:rsidP="00C549D5">
            <w:pPr>
              <w:jc w:val="both"/>
              <w:rPr>
                <w:rFonts w:cstheme="minorHAnsi"/>
                <w:b/>
                <w:sz w:val="24"/>
              </w:rPr>
            </w:pPr>
            <w:r w:rsidRPr="00F53617">
              <w:rPr>
                <w:rFonts w:cstheme="minorHAnsi"/>
                <w:b/>
                <w:sz w:val="24"/>
              </w:rPr>
              <w:t>Female</w:t>
            </w:r>
          </w:p>
        </w:tc>
        <w:tc>
          <w:tcPr>
            <w:tcW w:w="1423" w:type="dxa"/>
          </w:tcPr>
          <w:p w:rsidR="00C25688" w:rsidRPr="00F53617" w:rsidRDefault="00C25688" w:rsidP="00C549D5">
            <w:pPr>
              <w:jc w:val="both"/>
              <w:rPr>
                <w:rFonts w:cstheme="minorHAnsi"/>
                <w:b/>
                <w:sz w:val="24"/>
              </w:rPr>
            </w:pPr>
            <w:r w:rsidRPr="00F53617">
              <w:rPr>
                <w:rFonts w:cstheme="minorHAnsi"/>
                <w:b/>
                <w:sz w:val="24"/>
              </w:rPr>
              <w:t>Male</w:t>
            </w:r>
          </w:p>
        </w:tc>
        <w:tc>
          <w:tcPr>
            <w:tcW w:w="1423" w:type="dxa"/>
          </w:tcPr>
          <w:p w:rsidR="00C25688" w:rsidRPr="00F53617" w:rsidRDefault="00C25688" w:rsidP="00C549D5">
            <w:pPr>
              <w:jc w:val="both"/>
              <w:rPr>
                <w:rFonts w:cstheme="minorHAnsi"/>
                <w:b/>
                <w:sz w:val="24"/>
              </w:rPr>
            </w:pPr>
            <w:r>
              <w:rPr>
                <w:rFonts w:cstheme="minorHAnsi"/>
                <w:b/>
                <w:sz w:val="24"/>
              </w:rPr>
              <w:t>Difference</w:t>
            </w:r>
          </w:p>
        </w:tc>
        <w:tc>
          <w:tcPr>
            <w:tcW w:w="1423" w:type="dxa"/>
          </w:tcPr>
          <w:p w:rsidR="00C25688" w:rsidRPr="00F53617" w:rsidRDefault="00C25688" w:rsidP="00C549D5">
            <w:pPr>
              <w:jc w:val="both"/>
              <w:rPr>
                <w:rFonts w:cstheme="minorHAnsi"/>
                <w:b/>
                <w:sz w:val="24"/>
              </w:rPr>
            </w:pPr>
            <w:r>
              <w:rPr>
                <w:rFonts w:cstheme="minorHAnsi"/>
                <w:b/>
                <w:sz w:val="24"/>
              </w:rPr>
              <w:t>Percentage</w:t>
            </w:r>
          </w:p>
        </w:tc>
      </w:tr>
      <w:tr w:rsidR="00C25688" w:rsidRPr="00F53617" w:rsidTr="002966CD">
        <w:tc>
          <w:tcPr>
            <w:tcW w:w="1980" w:type="dxa"/>
          </w:tcPr>
          <w:p w:rsidR="00C25688" w:rsidRPr="00C25688" w:rsidRDefault="00C25688" w:rsidP="00C549D5">
            <w:pPr>
              <w:pStyle w:val="ListParagraph"/>
              <w:numPr>
                <w:ilvl w:val="0"/>
                <w:numId w:val="5"/>
              </w:numPr>
              <w:ind w:left="318" w:hanging="318"/>
              <w:jc w:val="both"/>
              <w:rPr>
                <w:rFonts w:cstheme="minorHAnsi"/>
                <w:b/>
                <w:sz w:val="24"/>
              </w:rPr>
            </w:pPr>
            <w:r w:rsidRPr="00C25688">
              <w:rPr>
                <w:rFonts w:cstheme="minorHAnsi"/>
                <w:b/>
                <w:sz w:val="24"/>
              </w:rPr>
              <w:t>Quarter 1</w:t>
            </w:r>
          </w:p>
        </w:tc>
        <w:tc>
          <w:tcPr>
            <w:tcW w:w="1417" w:type="dxa"/>
          </w:tcPr>
          <w:p w:rsidR="00C25688" w:rsidRPr="00C25688" w:rsidRDefault="00C25688" w:rsidP="00D73C0F">
            <w:pPr>
              <w:ind w:left="360" w:hanging="321"/>
              <w:jc w:val="right"/>
              <w:rPr>
                <w:rFonts w:cstheme="minorHAnsi"/>
              </w:rPr>
            </w:pPr>
            <w:r>
              <w:rPr>
                <w:rFonts w:cstheme="minorHAnsi"/>
              </w:rPr>
              <w:t>16.09</w:t>
            </w:r>
          </w:p>
        </w:tc>
        <w:tc>
          <w:tcPr>
            <w:tcW w:w="1423" w:type="dxa"/>
          </w:tcPr>
          <w:p w:rsidR="00C25688" w:rsidRPr="00C25688" w:rsidRDefault="00C25688" w:rsidP="00D73C0F">
            <w:pPr>
              <w:ind w:left="360" w:hanging="321"/>
              <w:jc w:val="right"/>
              <w:rPr>
                <w:rFonts w:cstheme="minorHAnsi"/>
              </w:rPr>
            </w:pPr>
            <w:r>
              <w:rPr>
                <w:rFonts w:cstheme="minorHAnsi"/>
              </w:rPr>
              <w:t>19.61</w:t>
            </w:r>
          </w:p>
        </w:tc>
        <w:tc>
          <w:tcPr>
            <w:tcW w:w="1423" w:type="dxa"/>
          </w:tcPr>
          <w:p w:rsidR="00C25688" w:rsidRPr="00C25688" w:rsidRDefault="00C25688" w:rsidP="00D73C0F">
            <w:pPr>
              <w:ind w:left="360" w:hanging="321"/>
              <w:jc w:val="right"/>
              <w:rPr>
                <w:rFonts w:cstheme="minorHAnsi"/>
              </w:rPr>
            </w:pPr>
            <w:r>
              <w:rPr>
                <w:rFonts w:cstheme="minorHAnsi"/>
              </w:rPr>
              <w:t>3.52</w:t>
            </w:r>
          </w:p>
        </w:tc>
        <w:tc>
          <w:tcPr>
            <w:tcW w:w="1423" w:type="dxa"/>
          </w:tcPr>
          <w:p w:rsidR="00C25688" w:rsidRPr="00C25688" w:rsidRDefault="00C25688" w:rsidP="00D73C0F">
            <w:pPr>
              <w:ind w:left="360" w:hanging="321"/>
              <w:jc w:val="right"/>
              <w:rPr>
                <w:rFonts w:cstheme="minorHAnsi"/>
              </w:rPr>
            </w:pPr>
            <w:r>
              <w:rPr>
                <w:rFonts w:cstheme="minorHAnsi"/>
              </w:rPr>
              <w:t>1</w:t>
            </w:r>
            <w:r w:rsidR="00620BE4">
              <w:rPr>
                <w:rFonts w:cstheme="minorHAnsi"/>
              </w:rPr>
              <w:t>7</w:t>
            </w:r>
            <w:r>
              <w:rPr>
                <w:rFonts w:cstheme="minorHAnsi"/>
              </w:rPr>
              <w:t>.95%</w:t>
            </w:r>
          </w:p>
        </w:tc>
      </w:tr>
      <w:tr w:rsidR="00C25688" w:rsidRPr="00F53617" w:rsidTr="002966CD">
        <w:tc>
          <w:tcPr>
            <w:tcW w:w="1980" w:type="dxa"/>
          </w:tcPr>
          <w:p w:rsidR="00C25688" w:rsidRPr="00C25688" w:rsidRDefault="00C25688" w:rsidP="00C549D5">
            <w:pPr>
              <w:pStyle w:val="ListParagraph"/>
              <w:numPr>
                <w:ilvl w:val="0"/>
                <w:numId w:val="5"/>
              </w:numPr>
              <w:ind w:left="318" w:hanging="318"/>
              <w:jc w:val="both"/>
              <w:rPr>
                <w:rFonts w:cstheme="minorHAnsi"/>
                <w:b/>
                <w:sz w:val="24"/>
              </w:rPr>
            </w:pPr>
            <w:r w:rsidRPr="00C25688">
              <w:rPr>
                <w:rFonts w:cstheme="minorHAnsi"/>
                <w:b/>
                <w:sz w:val="24"/>
              </w:rPr>
              <w:t>Quarter 2</w:t>
            </w:r>
          </w:p>
        </w:tc>
        <w:tc>
          <w:tcPr>
            <w:tcW w:w="1417" w:type="dxa"/>
          </w:tcPr>
          <w:p w:rsidR="00C25688" w:rsidRPr="00C25688" w:rsidRDefault="00C25688" w:rsidP="00D73C0F">
            <w:pPr>
              <w:ind w:left="360" w:hanging="321"/>
              <w:jc w:val="right"/>
              <w:rPr>
                <w:rFonts w:cstheme="minorHAnsi"/>
              </w:rPr>
            </w:pPr>
            <w:r>
              <w:rPr>
                <w:rFonts w:cstheme="minorHAnsi"/>
              </w:rPr>
              <w:t>13.14</w:t>
            </w:r>
          </w:p>
        </w:tc>
        <w:tc>
          <w:tcPr>
            <w:tcW w:w="1423" w:type="dxa"/>
          </w:tcPr>
          <w:p w:rsidR="00C25688" w:rsidRPr="00C25688" w:rsidRDefault="00C25688" w:rsidP="00D73C0F">
            <w:pPr>
              <w:ind w:left="360" w:hanging="321"/>
              <w:jc w:val="right"/>
              <w:rPr>
                <w:rFonts w:cstheme="minorHAnsi"/>
              </w:rPr>
            </w:pPr>
            <w:r>
              <w:rPr>
                <w:rFonts w:cstheme="minorHAnsi"/>
              </w:rPr>
              <w:t>13.09</w:t>
            </w:r>
          </w:p>
        </w:tc>
        <w:tc>
          <w:tcPr>
            <w:tcW w:w="1423" w:type="dxa"/>
          </w:tcPr>
          <w:p w:rsidR="00C25688" w:rsidRPr="00C25688" w:rsidRDefault="00C25688" w:rsidP="00D73C0F">
            <w:pPr>
              <w:ind w:left="360" w:hanging="321"/>
              <w:jc w:val="right"/>
              <w:rPr>
                <w:rFonts w:cstheme="minorHAnsi"/>
                <w:color w:val="FF0000"/>
              </w:rPr>
            </w:pPr>
            <w:r w:rsidRPr="00C25688">
              <w:rPr>
                <w:rFonts w:cstheme="minorHAnsi"/>
                <w:color w:val="FF0000"/>
              </w:rPr>
              <w:t>-0.05</w:t>
            </w:r>
          </w:p>
        </w:tc>
        <w:tc>
          <w:tcPr>
            <w:tcW w:w="1423" w:type="dxa"/>
          </w:tcPr>
          <w:p w:rsidR="00C25688" w:rsidRPr="00C25688" w:rsidRDefault="00C25688" w:rsidP="00D73C0F">
            <w:pPr>
              <w:ind w:left="360" w:hanging="321"/>
              <w:jc w:val="right"/>
              <w:rPr>
                <w:rFonts w:cstheme="minorHAnsi"/>
                <w:color w:val="FF0000"/>
              </w:rPr>
            </w:pPr>
            <w:r w:rsidRPr="00C25688">
              <w:rPr>
                <w:rFonts w:cstheme="minorHAnsi"/>
                <w:color w:val="FF0000"/>
              </w:rPr>
              <w:t>-0.38%</w:t>
            </w:r>
          </w:p>
        </w:tc>
      </w:tr>
      <w:tr w:rsidR="00C25688" w:rsidRPr="00F53617" w:rsidTr="002966CD">
        <w:tc>
          <w:tcPr>
            <w:tcW w:w="1980" w:type="dxa"/>
          </w:tcPr>
          <w:p w:rsidR="00C25688" w:rsidRPr="00C25688" w:rsidRDefault="00C25688" w:rsidP="00C549D5">
            <w:pPr>
              <w:pStyle w:val="ListParagraph"/>
              <w:numPr>
                <w:ilvl w:val="0"/>
                <w:numId w:val="5"/>
              </w:numPr>
              <w:ind w:left="318" w:hanging="318"/>
              <w:jc w:val="both"/>
              <w:rPr>
                <w:rFonts w:cstheme="minorHAnsi"/>
                <w:b/>
                <w:sz w:val="24"/>
              </w:rPr>
            </w:pPr>
            <w:r w:rsidRPr="00C25688">
              <w:rPr>
                <w:rFonts w:cstheme="minorHAnsi"/>
                <w:b/>
                <w:sz w:val="24"/>
              </w:rPr>
              <w:t>Quarter 3</w:t>
            </w:r>
          </w:p>
        </w:tc>
        <w:tc>
          <w:tcPr>
            <w:tcW w:w="1417" w:type="dxa"/>
          </w:tcPr>
          <w:p w:rsidR="00C25688" w:rsidRPr="00C25688" w:rsidRDefault="00C25688" w:rsidP="00D73C0F">
            <w:pPr>
              <w:ind w:left="360" w:hanging="321"/>
              <w:jc w:val="right"/>
              <w:rPr>
                <w:rFonts w:cstheme="minorHAnsi"/>
              </w:rPr>
            </w:pPr>
            <w:r>
              <w:rPr>
                <w:rFonts w:cstheme="minorHAnsi"/>
              </w:rPr>
              <w:t>11.26</w:t>
            </w:r>
          </w:p>
        </w:tc>
        <w:tc>
          <w:tcPr>
            <w:tcW w:w="1423" w:type="dxa"/>
          </w:tcPr>
          <w:p w:rsidR="00C25688" w:rsidRPr="00C25688" w:rsidRDefault="00C25688" w:rsidP="00D73C0F">
            <w:pPr>
              <w:ind w:left="360" w:hanging="321"/>
              <w:jc w:val="right"/>
              <w:rPr>
                <w:rFonts w:cstheme="minorHAnsi"/>
              </w:rPr>
            </w:pPr>
            <w:r>
              <w:rPr>
                <w:rFonts w:cstheme="minorHAnsi"/>
              </w:rPr>
              <w:t>11.58</w:t>
            </w:r>
          </w:p>
        </w:tc>
        <w:tc>
          <w:tcPr>
            <w:tcW w:w="1423" w:type="dxa"/>
          </w:tcPr>
          <w:p w:rsidR="00C25688" w:rsidRPr="00C25688" w:rsidRDefault="00C25688" w:rsidP="00D73C0F">
            <w:pPr>
              <w:ind w:left="360" w:hanging="321"/>
              <w:jc w:val="right"/>
              <w:rPr>
                <w:rFonts w:cstheme="minorHAnsi"/>
              </w:rPr>
            </w:pPr>
            <w:r>
              <w:rPr>
                <w:rFonts w:cstheme="minorHAnsi"/>
              </w:rPr>
              <w:t>0.32</w:t>
            </w:r>
          </w:p>
        </w:tc>
        <w:tc>
          <w:tcPr>
            <w:tcW w:w="1423" w:type="dxa"/>
          </w:tcPr>
          <w:p w:rsidR="00C25688" w:rsidRPr="00C25688" w:rsidRDefault="00C25688" w:rsidP="00D73C0F">
            <w:pPr>
              <w:ind w:left="360" w:hanging="321"/>
              <w:jc w:val="right"/>
              <w:rPr>
                <w:rFonts w:cstheme="minorHAnsi"/>
              </w:rPr>
            </w:pPr>
            <w:r>
              <w:rPr>
                <w:rFonts w:cstheme="minorHAnsi"/>
              </w:rPr>
              <w:t>2.76%</w:t>
            </w:r>
          </w:p>
        </w:tc>
      </w:tr>
      <w:tr w:rsidR="00C25688" w:rsidRPr="00F53617" w:rsidTr="002966CD">
        <w:tc>
          <w:tcPr>
            <w:tcW w:w="1980" w:type="dxa"/>
          </w:tcPr>
          <w:p w:rsidR="00C25688" w:rsidRPr="00C25688" w:rsidRDefault="00C25688" w:rsidP="00C549D5">
            <w:pPr>
              <w:pStyle w:val="ListParagraph"/>
              <w:numPr>
                <w:ilvl w:val="0"/>
                <w:numId w:val="5"/>
              </w:numPr>
              <w:ind w:left="318" w:hanging="318"/>
              <w:jc w:val="both"/>
              <w:rPr>
                <w:rFonts w:cstheme="minorHAnsi"/>
                <w:b/>
                <w:sz w:val="24"/>
              </w:rPr>
            </w:pPr>
            <w:r w:rsidRPr="00C25688">
              <w:rPr>
                <w:rFonts w:cstheme="minorHAnsi"/>
                <w:b/>
                <w:sz w:val="24"/>
              </w:rPr>
              <w:t>Quarter 4</w:t>
            </w:r>
          </w:p>
        </w:tc>
        <w:tc>
          <w:tcPr>
            <w:tcW w:w="1417" w:type="dxa"/>
          </w:tcPr>
          <w:p w:rsidR="00C25688" w:rsidRPr="00C25688" w:rsidRDefault="00C25688" w:rsidP="00D73C0F">
            <w:pPr>
              <w:ind w:left="360" w:hanging="321"/>
              <w:jc w:val="right"/>
              <w:rPr>
                <w:rFonts w:cstheme="minorHAnsi"/>
              </w:rPr>
            </w:pPr>
            <w:r>
              <w:rPr>
                <w:rFonts w:cstheme="minorHAnsi"/>
              </w:rPr>
              <w:t>9.99</w:t>
            </w:r>
          </w:p>
        </w:tc>
        <w:tc>
          <w:tcPr>
            <w:tcW w:w="1423" w:type="dxa"/>
          </w:tcPr>
          <w:p w:rsidR="00C25688" w:rsidRPr="00C25688" w:rsidRDefault="00C25688" w:rsidP="00D73C0F">
            <w:pPr>
              <w:ind w:left="360" w:hanging="321"/>
              <w:jc w:val="right"/>
              <w:rPr>
                <w:rFonts w:cstheme="minorHAnsi"/>
              </w:rPr>
            </w:pPr>
            <w:r>
              <w:rPr>
                <w:rFonts w:cstheme="minorHAnsi"/>
              </w:rPr>
              <w:t>10.03</w:t>
            </w:r>
          </w:p>
        </w:tc>
        <w:tc>
          <w:tcPr>
            <w:tcW w:w="1423" w:type="dxa"/>
          </w:tcPr>
          <w:p w:rsidR="00C25688" w:rsidRPr="00C25688" w:rsidRDefault="00C25688" w:rsidP="00D73C0F">
            <w:pPr>
              <w:ind w:left="360" w:hanging="321"/>
              <w:jc w:val="right"/>
              <w:rPr>
                <w:rFonts w:cstheme="minorHAnsi"/>
              </w:rPr>
            </w:pPr>
            <w:r>
              <w:rPr>
                <w:rFonts w:cstheme="minorHAnsi"/>
              </w:rPr>
              <w:t>0.04</w:t>
            </w:r>
          </w:p>
        </w:tc>
        <w:tc>
          <w:tcPr>
            <w:tcW w:w="1423" w:type="dxa"/>
          </w:tcPr>
          <w:p w:rsidR="00C25688" w:rsidRPr="00C25688" w:rsidRDefault="00C25688" w:rsidP="00D73C0F">
            <w:pPr>
              <w:ind w:left="360" w:hanging="321"/>
              <w:jc w:val="right"/>
              <w:rPr>
                <w:rFonts w:cstheme="minorHAnsi"/>
              </w:rPr>
            </w:pPr>
            <w:r>
              <w:rPr>
                <w:rFonts w:cstheme="minorHAnsi"/>
              </w:rPr>
              <w:t>0.40%</w:t>
            </w:r>
          </w:p>
        </w:tc>
      </w:tr>
    </w:tbl>
    <w:p w:rsidR="00D73C0F" w:rsidRPr="00D73C0F" w:rsidRDefault="00D73C0F" w:rsidP="00D73C0F">
      <w:pPr>
        <w:shd w:val="clear" w:color="auto" w:fill="FFFFFF"/>
        <w:spacing w:after="75" w:line="240" w:lineRule="auto"/>
        <w:ind w:left="-60"/>
        <w:rPr>
          <w:rFonts w:eastAsia="Times New Roman" w:cstheme="minorHAnsi"/>
          <w:b/>
          <w:color w:val="0B0C0C"/>
          <w:sz w:val="24"/>
          <w:szCs w:val="24"/>
          <w:lang w:eastAsia="en-GB"/>
        </w:rPr>
      </w:pPr>
      <w:r w:rsidRPr="00D73C0F">
        <w:rPr>
          <w:rFonts w:eastAsia="Times New Roman" w:cstheme="minorHAnsi"/>
          <w:b/>
          <w:color w:val="0B0C0C"/>
          <w:sz w:val="24"/>
          <w:szCs w:val="24"/>
          <w:lang w:eastAsia="en-GB"/>
        </w:rPr>
        <w:t>Median Gender Pay Gap for each Hourly Pay Quarter</w:t>
      </w:r>
    </w:p>
    <w:p w:rsidR="00D73C0F" w:rsidRDefault="00D73C0F" w:rsidP="0026308E">
      <w:pPr>
        <w:spacing w:after="0" w:line="240" w:lineRule="auto"/>
        <w:jc w:val="both"/>
        <w:rPr>
          <w:rFonts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gridCol w:w="1423"/>
        <w:gridCol w:w="1423"/>
        <w:gridCol w:w="1423"/>
      </w:tblGrid>
      <w:tr w:rsidR="00D73C0F" w:rsidRPr="00F53617" w:rsidTr="00C549D5">
        <w:tc>
          <w:tcPr>
            <w:tcW w:w="1980" w:type="dxa"/>
          </w:tcPr>
          <w:p w:rsidR="00D73C0F" w:rsidRPr="00F53617" w:rsidRDefault="00D73C0F" w:rsidP="00C549D5">
            <w:pPr>
              <w:jc w:val="both"/>
              <w:rPr>
                <w:rFonts w:cstheme="minorHAnsi"/>
                <w:b/>
                <w:sz w:val="24"/>
              </w:rPr>
            </w:pPr>
          </w:p>
        </w:tc>
        <w:tc>
          <w:tcPr>
            <w:tcW w:w="1417" w:type="dxa"/>
          </w:tcPr>
          <w:p w:rsidR="00D73C0F" w:rsidRPr="00F53617" w:rsidRDefault="00D73C0F" w:rsidP="00C549D5">
            <w:pPr>
              <w:jc w:val="both"/>
              <w:rPr>
                <w:rFonts w:cstheme="minorHAnsi"/>
                <w:b/>
                <w:sz w:val="24"/>
              </w:rPr>
            </w:pPr>
            <w:r w:rsidRPr="00F53617">
              <w:rPr>
                <w:rFonts w:cstheme="minorHAnsi"/>
                <w:b/>
                <w:sz w:val="24"/>
              </w:rPr>
              <w:t>Female</w:t>
            </w:r>
          </w:p>
        </w:tc>
        <w:tc>
          <w:tcPr>
            <w:tcW w:w="1423" w:type="dxa"/>
          </w:tcPr>
          <w:p w:rsidR="00D73C0F" w:rsidRPr="00F53617" w:rsidRDefault="00D73C0F" w:rsidP="00C549D5">
            <w:pPr>
              <w:jc w:val="both"/>
              <w:rPr>
                <w:rFonts w:cstheme="minorHAnsi"/>
                <w:b/>
                <w:sz w:val="24"/>
              </w:rPr>
            </w:pPr>
            <w:r w:rsidRPr="00F53617">
              <w:rPr>
                <w:rFonts w:cstheme="minorHAnsi"/>
                <w:b/>
                <w:sz w:val="24"/>
              </w:rPr>
              <w:t>Male</w:t>
            </w:r>
          </w:p>
        </w:tc>
        <w:tc>
          <w:tcPr>
            <w:tcW w:w="1423" w:type="dxa"/>
          </w:tcPr>
          <w:p w:rsidR="00D73C0F" w:rsidRPr="00F53617" w:rsidRDefault="00D73C0F" w:rsidP="00C549D5">
            <w:pPr>
              <w:jc w:val="both"/>
              <w:rPr>
                <w:rFonts w:cstheme="minorHAnsi"/>
                <w:b/>
                <w:sz w:val="24"/>
              </w:rPr>
            </w:pPr>
            <w:r>
              <w:rPr>
                <w:rFonts w:cstheme="minorHAnsi"/>
                <w:b/>
                <w:sz w:val="24"/>
              </w:rPr>
              <w:t>Difference</w:t>
            </w:r>
          </w:p>
        </w:tc>
        <w:tc>
          <w:tcPr>
            <w:tcW w:w="1423" w:type="dxa"/>
          </w:tcPr>
          <w:p w:rsidR="00D73C0F" w:rsidRPr="00F53617" w:rsidRDefault="00D73C0F" w:rsidP="00C549D5">
            <w:pPr>
              <w:jc w:val="both"/>
              <w:rPr>
                <w:rFonts w:cstheme="minorHAnsi"/>
                <w:b/>
                <w:sz w:val="24"/>
              </w:rPr>
            </w:pPr>
            <w:r>
              <w:rPr>
                <w:rFonts w:cstheme="minorHAnsi"/>
                <w:b/>
                <w:sz w:val="24"/>
              </w:rPr>
              <w:t>Percentage</w:t>
            </w:r>
          </w:p>
        </w:tc>
      </w:tr>
      <w:tr w:rsidR="00D73C0F" w:rsidRPr="00F53617" w:rsidTr="00C549D5">
        <w:tc>
          <w:tcPr>
            <w:tcW w:w="1980" w:type="dxa"/>
          </w:tcPr>
          <w:p w:rsidR="00D73C0F" w:rsidRPr="00C25688" w:rsidRDefault="00D73C0F" w:rsidP="00C549D5">
            <w:pPr>
              <w:pStyle w:val="ListParagraph"/>
              <w:numPr>
                <w:ilvl w:val="0"/>
                <w:numId w:val="5"/>
              </w:numPr>
              <w:ind w:left="318" w:hanging="318"/>
              <w:jc w:val="both"/>
              <w:rPr>
                <w:rFonts w:cstheme="minorHAnsi"/>
                <w:b/>
                <w:sz w:val="24"/>
              </w:rPr>
            </w:pPr>
            <w:r w:rsidRPr="00C25688">
              <w:rPr>
                <w:rFonts w:cstheme="minorHAnsi"/>
                <w:b/>
                <w:sz w:val="24"/>
              </w:rPr>
              <w:t>Quarter 1</w:t>
            </w:r>
          </w:p>
        </w:tc>
        <w:tc>
          <w:tcPr>
            <w:tcW w:w="1417" w:type="dxa"/>
          </w:tcPr>
          <w:p w:rsidR="00D73C0F" w:rsidRPr="00C25688" w:rsidRDefault="00D73C0F" w:rsidP="00C549D5">
            <w:pPr>
              <w:ind w:left="360" w:hanging="321"/>
              <w:jc w:val="both"/>
              <w:rPr>
                <w:rFonts w:cstheme="minorHAnsi"/>
              </w:rPr>
            </w:pPr>
            <w:r>
              <w:rPr>
                <w:rFonts w:cstheme="minorHAnsi"/>
              </w:rPr>
              <w:t>15.20</w:t>
            </w:r>
          </w:p>
        </w:tc>
        <w:tc>
          <w:tcPr>
            <w:tcW w:w="1423" w:type="dxa"/>
          </w:tcPr>
          <w:p w:rsidR="00D73C0F" w:rsidRPr="00C25688" w:rsidRDefault="00D73C0F" w:rsidP="00C549D5">
            <w:pPr>
              <w:ind w:left="360" w:hanging="321"/>
              <w:jc w:val="both"/>
              <w:rPr>
                <w:rFonts w:cstheme="minorHAnsi"/>
              </w:rPr>
            </w:pPr>
            <w:r>
              <w:rPr>
                <w:rFonts w:cstheme="minorHAnsi"/>
              </w:rPr>
              <w:t>16.40</w:t>
            </w:r>
          </w:p>
        </w:tc>
        <w:tc>
          <w:tcPr>
            <w:tcW w:w="1423" w:type="dxa"/>
          </w:tcPr>
          <w:p w:rsidR="00D73C0F" w:rsidRPr="00C25688" w:rsidRDefault="00D73C0F" w:rsidP="00C549D5">
            <w:pPr>
              <w:ind w:left="360" w:hanging="321"/>
              <w:jc w:val="both"/>
              <w:rPr>
                <w:rFonts w:cstheme="minorHAnsi"/>
              </w:rPr>
            </w:pPr>
            <w:r>
              <w:rPr>
                <w:rFonts w:cstheme="minorHAnsi"/>
              </w:rPr>
              <w:t>1.20</w:t>
            </w:r>
          </w:p>
        </w:tc>
        <w:tc>
          <w:tcPr>
            <w:tcW w:w="1423" w:type="dxa"/>
          </w:tcPr>
          <w:p w:rsidR="00D73C0F" w:rsidRPr="00C25688" w:rsidRDefault="00D73C0F" w:rsidP="00C549D5">
            <w:pPr>
              <w:ind w:left="360" w:hanging="321"/>
              <w:jc w:val="both"/>
              <w:rPr>
                <w:rFonts w:cstheme="minorHAnsi"/>
              </w:rPr>
            </w:pPr>
            <w:r>
              <w:rPr>
                <w:rFonts w:cstheme="minorHAnsi"/>
              </w:rPr>
              <w:t>7.32%</w:t>
            </w:r>
          </w:p>
        </w:tc>
      </w:tr>
      <w:tr w:rsidR="00D73C0F" w:rsidRPr="00F53617" w:rsidTr="00C549D5">
        <w:tc>
          <w:tcPr>
            <w:tcW w:w="1980" w:type="dxa"/>
          </w:tcPr>
          <w:p w:rsidR="00D73C0F" w:rsidRPr="00C25688" w:rsidRDefault="00D73C0F" w:rsidP="00C549D5">
            <w:pPr>
              <w:pStyle w:val="ListParagraph"/>
              <w:numPr>
                <w:ilvl w:val="0"/>
                <w:numId w:val="5"/>
              </w:numPr>
              <w:ind w:left="318" w:hanging="318"/>
              <w:jc w:val="both"/>
              <w:rPr>
                <w:rFonts w:cstheme="minorHAnsi"/>
                <w:b/>
                <w:sz w:val="24"/>
              </w:rPr>
            </w:pPr>
            <w:r w:rsidRPr="00C25688">
              <w:rPr>
                <w:rFonts w:cstheme="minorHAnsi"/>
                <w:b/>
                <w:sz w:val="24"/>
              </w:rPr>
              <w:t>Quarter 2</w:t>
            </w:r>
          </w:p>
        </w:tc>
        <w:tc>
          <w:tcPr>
            <w:tcW w:w="1417" w:type="dxa"/>
          </w:tcPr>
          <w:p w:rsidR="00D73C0F" w:rsidRPr="00C25688" w:rsidRDefault="00D73C0F" w:rsidP="00C549D5">
            <w:pPr>
              <w:ind w:left="360" w:hanging="321"/>
              <w:jc w:val="both"/>
              <w:rPr>
                <w:rFonts w:cstheme="minorHAnsi"/>
              </w:rPr>
            </w:pPr>
            <w:r>
              <w:rPr>
                <w:rFonts w:cstheme="minorHAnsi"/>
              </w:rPr>
              <w:t>13.10</w:t>
            </w:r>
          </w:p>
        </w:tc>
        <w:tc>
          <w:tcPr>
            <w:tcW w:w="1423" w:type="dxa"/>
          </w:tcPr>
          <w:p w:rsidR="00D73C0F" w:rsidRPr="00C25688" w:rsidRDefault="00D73C0F" w:rsidP="00C549D5">
            <w:pPr>
              <w:ind w:left="360" w:hanging="321"/>
              <w:jc w:val="both"/>
              <w:rPr>
                <w:rFonts w:cstheme="minorHAnsi"/>
              </w:rPr>
            </w:pPr>
            <w:r>
              <w:rPr>
                <w:rFonts w:cstheme="minorHAnsi"/>
              </w:rPr>
              <w:t>13.10</w:t>
            </w:r>
          </w:p>
        </w:tc>
        <w:tc>
          <w:tcPr>
            <w:tcW w:w="1423" w:type="dxa"/>
          </w:tcPr>
          <w:p w:rsidR="00D73C0F" w:rsidRPr="00D73C0F" w:rsidRDefault="00D73C0F" w:rsidP="00C549D5">
            <w:pPr>
              <w:ind w:left="360" w:hanging="321"/>
              <w:jc w:val="both"/>
              <w:rPr>
                <w:rFonts w:cstheme="minorHAnsi"/>
              </w:rPr>
            </w:pPr>
            <w:r w:rsidRPr="00D73C0F">
              <w:rPr>
                <w:rFonts w:cstheme="minorHAnsi"/>
              </w:rPr>
              <w:t>0</w:t>
            </w:r>
          </w:p>
        </w:tc>
        <w:tc>
          <w:tcPr>
            <w:tcW w:w="1423" w:type="dxa"/>
          </w:tcPr>
          <w:p w:rsidR="00D73C0F" w:rsidRPr="00D73C0F" w:rsidRDefault="00D73C0F" w:rsidP="00C549D5">
            <w:pPr>
              <w:ind w:left="360" w:hanging="321"/>
              <w:jc w:val="both"/>
              <w:rPr>
                <w:rFonts w:cstheme="minorHAnsi"/>
              </w:rPr>
            </w:pPr>
            <w:r w:rsidRPr="00D73C0F">
              <w:rPr>
                <w:rFonts w:cstheme="minorHAnsi"/>
              </w:rPr>
              <w:t>0%</w:t>
            </w:r>
          </w:p>
        </w:tc>
      </w:tr>
      <w:tr w:rsidR="00D73C0F" w:rsidRPr="00F53617" w:rsidTr="00C549D5">
        <w:tc>
          <w:tcPr>
            <w:tcW w:w="1980" w:type="dxa"/>
          </w:tcPr>
          <w:p w:rsidR="00D73C0F" w:rsidRPr="00C25688" w:rsidRDefault="00D73C0F" w:rsidP="00C549D5">
            <w:pPr>
              <w:pStyle w:val="ListParagraph"/>
              <w:numPr>
                <w:ilvl w:val="0"/>
                <w:numId w:val="5"/>
              </w:numPr>
              <w:ind w:left="318" w:hanging="318"/>
              <w:jc w:val="both"/>
              <w:rPr>
                <w:rFonts w:cstheme="minorHAnsi"/>
                <w:b/>
                <w:sz w:val="24"/>
              </w:rPr>
            </w:pPr>
            <w:r w:rsidRPr="00C25688">
              <w:rPr>
                <w:rFonts w:cstheme="minorHAnsi"/>
                <w:b/>
                <w:sz w:val="24"/>
              </w:rPr>
              <w:t>Quarter 3</w:t>
            </w:r>
          </w:p>
        </w:tc>
        <w:tc>
          <w:tcPr>
            <w:tcW w:w="1417" w:type="dxa"/>
          </w:tcPr>
          <w:p w:rsidR="00D73C0F" w:rsidRPr="00C25688" w:rsidRDefault="00D73C0F" w:rsidP="00C549D5">
            <w:pPr>
              <w:ind w:left="360" w:hanging="321"/>
              <w:jc w:val="both"/>
              <w:rPr>
                <w:rFonts w:cstheme="minorHAnsi"/>
              </w:rPr>
            </w:pPr>
            <w:r>
              <w:rPr>
                <w:rFonts w:cstheme="minorHAnsi"/>
              </w:rPr>
              <w:t>11.36</w:t>
            </w:r>
          </w:p>
        </w:tc>
        <w:tc>
          <w:tcPr>
            <w:tcW w:w="1423" w:type="dxa"/>
          </w:tcPr>
          <w:p w:rsidR="00D73C0F" w:rsidRPr="00C25688" w:rsidRDefault="00D73C0F" w:rsidP="00C549D5">
            <w:pPr>
              <w:ind w:left="360" w:hanging="321"/>
              <w:jc w:val="both"/>
              <w:rPr>
                <w:rFonts w:cstheme="minorHAnsi"/>
              </w:rPr>
            </w:pPr>
            <w:r>
              <w:rPr>
                <w:rFonts w:cstheme="minorHAnsi"/>
              </w:rPr>
              <w:t>11.70</w:t>
            </w:r>
          </w:p>
        </w:tc>
        <w:tc>
          <w:tcPr>
            <w:tcW w:w="1423" w:type="dxa"/>
          </w:tcPr>
          <w:p w:rsidR="00D73C0F" w:rsidRPr="00C25688" w:rsidRDefault="00D73C0F" w:rsidP="00C549D5">
            <w:pPr>
              <w:ind w:left="360" w:hanging="321"/>
              <w:jc w:val="both"/>
              <w:rPr>
                <w:rFonts w:cstheme="minorHAnsi"/>
              </w:rPr>
            </w:pPr>
            <w:r>
              <w:rPr>
                <w:rFonts w:cstheme="minorHAnsi"/>
              </w:rPr>
              <w:t>0.34</w:t>
            </w:r>
          </w:p>
        </w:tc>
        <w:tc>
          <w:tcPr>
            <w:tcW w:w="1423" w:type="dxa"/>
          </w:tcPr>
          <w:p w:rsidR="00D73C0F" w:rsidRPr="00C25688" w:rsidRDefault="00D73C0F" w:rsidP="00C549D5">
            <w:pPr>
              <w:ind w:left="360" w:hanging="321"/>
              <w:jc w:val="both"/>
              <w:rPr>
                <w:rFonts w:cstheme="minorHAnsi"/>
              </w:rPr>
            </w:pPr>
            <w:r>
              <w:rPr>
                <w:rFonts w:cstheme="minorHAnsi"/>
              </w:rPr>
              <w:t>2.91%</w:t>
            </w:r>
          </w:p>
        </w:tc>
      </w:tr>
      <w:tr w:rsidR="00D73C0F" w:rsidRPr="00F53617" w:rsidTr="00C549D5">
        <w:tc>
          <w:tcPr>
            <w:tcW w:w="1980" w:type="dxa"/>
          </w:tcPr>
          <w:p w:rsidR="00D73C0F" w:rsidRPr="00C25688" w:rsidRDefault="00D73C0F" w:rsidP="00C549D5">
            <w:pPr>
              <w:pStyle w:val="ListParagraph"/>
              <w:numPr>
                <w:ilvl w:val="0"/>
                <w:numId w:val="5"/>
              </w:numPr>
              <w:ind w:left="318" w:hanging="318"/>
              <w:jc w:val="both"/>
              <w:rPr>
                <w:rFonts w:cstheme="minorHAnsi"/>
                <w:b/>
                <w:sz w:val="24"/>
              </w:rPr>
            </w:pPr>
            <w:r w:rsidRPr="00C25688">
              <w:rPr>
                <w:rFonts w:cstheme="minorHAnsi"/>
                <w:b/>
                <w:sz w:val="24"/>
              </w:rPr>
              <w:t>Quarter 4</w:t>
            </w:r>
          </w:p>
        </w:tc>
        <w:tc>
          <w:tcPr>
            <w:tcW w:w="1417" w:type="dxa"/>
          </w:tcPr>
          <w:p w:rsidR="00D73C0F" w:rsidRPr="00C25688" w:rsidRDefault="00D73C0F" w:rsidP="00C549D5">
            <w:pPr>
              <w:ind w:left="360" w:hanging="321"/>
              <w:jc w:val="both"/>
              <w:rPr>
                <w:rFonts w:cstheme="minorHAnsi"/>
              </w:rPr>
            </w:pPr>
            <w:r>
              <w:rPr>
                <w:rFonts w:cstheme="minorHAnsi"/>
              </w:rPr>
              <w:t>10.02</w:t>
            </w:r>
          </w:p>
        </w:tc>
        <w:tc>
          <w:tcPr>
            <w:tcW w:w="1423" w:type="dxa"/>
          </w:tcPr>
          <w:p w:rsidR="00D73C0F" w:rsidRPr="00C25688" w:rsidRDefault="00D73C0F" w:rsidP="00C549D5">
            <w:pPr>
              <w:ind w:left="360" w:hanging="321"/>
              <w:jc w:val="both"/>
              <w:rPr>
                <w:rFonts w:cstheme="minorHAnsi"/>
              </w:rPr>
            </w:pPr>
            <w:r>
              <w:rPr>
                <w:rFonts w:cstheme="minorHAnsi"/>
              </w:rPr>
              <w:t>10.02</w:t>
            </w:r>
          </w:p>
        </w:tc>
        <w:tc>
          <w:tcPr>
            <w:tcW w:w="1423" w:type="dxa"/>
          </w:tcPr>
          <w:p w:rsidR="00D73C0F" w:rsidRPr="00C25688" w:rsidRDefault="00D73C0F" w:rsidP="00C549D5">
            <w:pPr>
              <w:ind w:left="360" w:hanging="321"/>
              <w:jc w:val="both"/>
              <w:rPr>
                <w:rFonts w:cstheme="minorHAnsi"/>
              </w:rPr>
            </w:pPr>
            <w:r>
              <w:rPr>
                <w:rFonts w:cstheme="minorHAnsi"/>
              </w:rPr>
              <w:t>0</w:t>
            </w:r>
          </w:p>
        </w:tc>
        <w:tc>
          <w:tcPr>
            <w:tcW w:w="1423" w:type="dxa"/>
          </w:tcPr>
          <w:p w:rsidR="00D73C0F" w:rsidRPr="00C25688" w:rsidRDefault="00D73C0F" w:rsidP="00C549D5">
            <w:pPr>
              <w:ind w:left="360" w:hanging="321"/>
              <w:jc w:val="both"/>
              <w:rPr>
                <w:rFonts w:cstheme="minorHAnsi"/>
              </w:rPr>
            </w:pPr>
            <w:r>
              <w:rPr>
                <w:rFonts w:cstheme="minorHAnsi"/>
              </w:rPr>
              <w:t>0%</w:t>
            </w:r>
          </w:p>
        </w:tc>
      </w:tr>
    </w:tbl>
    <w:p w:rsidR="00D73C0F" w:rsidRDefault="00D73C0F" w:rsidP="0026308E">
      <w:pPr>
        <w:spacing w:after="0" w:line="240" w:lineRule="auto"/>
        <w:jc w:val="both"/>
        <w:rPr>
          <w:rFonts w:cstheme="minorHAnsi"/>
          <w:sz w:val="24"/>
        </w:rPr>
      </w:pPr>
    </w:p>
    <w:p w:rsidR="00962595" w:rsidRDefault="00962595">
      <w:pPr>
        <w:rPr>
          <w:rFonts w:cstheme="minorHAnsi"/>
          <w:sz w:val="24"/>
        </w:rPr>
      </w:pPr>
      <w:r>
        <w:rPr>
          <w:rFonts w:cstheme="minorHAnsi"/>
          <w:sz w:val="24"/>
        </w:rPr>
        <w:br w:type="page"/>
      </w:r>
    </w:p>
    <w:p w:rsidR="00962595" w:rsidRPr="00962595" w:rsidRDefault="00962595" w:rsidP="00962595">
      <w:pPr>
        <w:spacing w:after="0" w:line="240" w:lineRule="auto"/>
        <w:jc w:val="both"/>
        <w:rPr>
          <w:rFonts w:cstheme="minorHAnsi"/>
          <w:b/>
          <w:sz w:val="24"/>
        </w:rPr>
      </w:pPr>
      <w:r w:rsidRPr="00962595">
        <w:rPr>
          <w:rFonts w:cstheme="minorHAnsi"/>
          <w:b/>
          <w:sz w:val="24"/>
        </w:rPr>
        <w:t xml:space="preserve">What may be </w:t>
      </w:r>
      <w:r>
        <w:rPr>
          <w:rFonts w:cstheme="minorHAnsi"/>
          <w:b/>
          <w:sz w:val="24"/>
        </w:rPr>
        <w:t>I</w:t>
      </w:r>
      <w:r w:rsidRPr="00962595">
        <w:rPr>
          <w:rFonts w:cstheme="minorHAnsi"/>
          <w:b/>
          <w:sz w:val="24"/>
        </w:rPr>
        <w:t xml:space="preserve">nfluencing the </w:t>
      </w:r>
      <w:r>
        <w:rPr>
          <w:rFonts w:cstheme="minorHAnsi"/>
          <w:b/>
          <w:sz w:val="24"/>
        </w:rPr>
        <w:t>C</w:t>
      </w:r>
      <w:r w:rsidRPr="00962595">
        <w:rPr>
          <w:rFonts w:cstheme="minorHAnsi"/>
          <w:b/>
          <w:sz w:val="24"/>
        </w:rPr>
        <w:t xml:space="preserve">urrent </w:t>
      </w:r>
      <w:r>
        <w:rPr>
          <w:rFonts w:cstheme="minorHAnsi"/>
          <w:b/>
          <w:sz w:val="24"/>
        </w:rPr>
        <w:t>P</w:t>
      </w:r>
      <w:r w:rsidRPr="00962595">
        <w:rPr>
          <w:rFonts w:cstheme="minorHAnsi"/>
          <w:b/>
          <w:sz w:val="24"/>
        </w:rPr>
        <w:t xml:space="preserve">ay </w:t>
      </w:r>
      <w:r>
        <w:rPr>
          <w:rFonts w:cstheme="minorHAnsi"/>
          <w:b/>
          <w:sz w:val="24"/>
        </w:rPr>
        <w:t>G</w:t>
      </w:r>
      <w:r w:rsidRPr="00962595">
        <w:rPr>
          <w:rFonts w:cstheme="minorHAnsi"/>
          <w:b/>
          <w:sz w:val="24"/>
        </w:rPr>
        <w:t>ap?</w:t>
      </w:r>
    </w:p>
    <w:p w:rsidR="00962595" w:rsidRPr="00962595" w:rsidRDefault="00962595" w:rsidP="00962595">
      <w:pPr>
        <w:spacing w:after="0" w:line="240" w:lineRule="auto"/>
        <w:jc w:val="both"/>
        <w:rPr>
          <w:rFonts w:cstheme="minorHAnsi"/>
          <w:sz w:val="24"/>
        </w:rPr>
      </w:pPr>
    </w:p>
    <w:p w:rsidR="00962595" w:rsidRPr="00962595" w:rsidRDefault="00962595" w:rsidP="00962595">
      <w:pPr>
        <w:spacing w:after="0" w:line="240" w:lineRule="auto"/>
        <w:jc w:val="both"/>
        <w:rPr>
          <w:rFonts w:cstheme="minorHAnsi"/>
          <w:sz w:val="24"/>
        </w:rPr>
      </w:pPr>
      <w:r w:rsidRPr="00962595">
        <w:rPr>
          <w:rFonts w:cstheme="minorHAnsi"/>
          <w:sz w:val="24"/>
        </w:rPr>
        <w:t xml:space="preserve">Part-time </w:t>
      </w:r>
      <w:r w:rsidR="0019014E">
        <w:rPr>
          <w:rFonts w:cstheme="minorHAnsi"/>
          <w:sz w:val="24"/>
        </w:rPr>
        <w:t>contracts</w:t>
      </w:r>
      <w:r>
        <w:rPr>
          <w:rFonts w:cstheme="minorHAnsi"/>
          <w:sz w:val="24"/>
        </w:rPr>
        <w:t xml:space="preserve"> </w:t>
      </w:r>
      <w:r w:rsidR="003D11F5">
        <w:rPr>
          <w:rFonts w:cstheme="minorHAnsi"/>
          <w:sz w:val="24"/>
        </w:rPr>
        <w:t>are</w:t>
      </w:r>
      <w:r>
        <w:rPr>
          <w:rFonts w:cstheme="minorHAnsi"/>
          <w:sz w:val="24"/>
        </w:rPr>
        <w:t xml:space="preserve"> the most influential to the gender pay gap</w:t>
      </w:r>
      <w:r w:rsidR="0019014E">
        <w:rPr>
          <w:rFonts w:cstheme="minorHAnsi"/>
          <w:sz w:val="24"/>
        </w:rPr>
        <w:t>.</w:t>
      </w:r>
    </w:p>
    <w:p w:rsidR="00962595" w:rsidRPr="00962595" w:rsidRDefault="00962595" w:rsidP="00962595">
      <w:pPr>
        <w:spacing w:after="0" w:line="240" w:lineRule="auto"/>
        <w:jc w:val="both"/>
        <w:rPr>
          <w:rFonts w:cstheme="minorHAnsi"/>
          <w:sz w:val="24"/>
        </w:rPr>
      </w:pPr>
    </w:p>
    <w:p w:rsidR="00962595" w:rsidRPr="00962595" w:rsidRDefault="00962595" w:rsidP="00962595">
      <w:pPr>
        <w:spacing w:after="0" w:line="240" w:lineRule="auto"/>
        <w:jc w:val="both"/>
        <w:rPr>
          <w:rFonts w:cstheme="minorHAnsi"/>
          <w:sz w:val="24"/>
        </w:rPr>
      </w:pPr>
      <w:r w:rsidRPr="00962595">
        <w:rPr>
          <w:rFonts w:cstheme="minorHAnsi"/>
          <w:sz w:val="24"/>
        </w:rPr>
        <w:t>One key driver for the gender pay gap on a national scale is that part-time</w:t>
      </w:r>
      <w:r>
        <w:rPr>
          <w:rFonts w:cstheme="minorHAnsi"/>
          <w:sz w:val="24"/>
        </w:rPr>
        <w:t xml:space="preserve"> contracts</w:t>
      </w:r>
      <w:r w:rsidRPr="00962595">
        <w:rPr>
          <w:rFonts w:cstheme="minorHAnsi"/>
          <w:sz w:val="24"/>
        </w:rPr>
        <w:t xml:space="preserve"> are more likely to be occupied by women, and these roles tend to be in the lower paid areas of an organisation.  Higher paid roles are more likely to be full-time. </w:t>
      </w:r>
    </w:p>
    <w:p w:rsidR="00962595" w:rsidRPr="00962595" w:rsidRDefault="00962595" w:rsidP="00962595">
      <w:pPr>
        <w:spacing w:after="0" w:line="240" w:lineRule="auto"/>
        <w:jc w:val="both"/>
        <w:rPr>
          <w:rFonts w:cstheme="minorHAnsi"/>
          <w:sz w:val="24"/>
        </w:rPr>
      </w:pPr>
    </w:p>
    <w:p w:rsidR="00962595" w:rsidRDefault="00962595" w:rsidP="00962595">
      <w:pPr>
        <w:spacing w:after="0" w:line="240" w:lineRule="auto"/>
        <w:jc w:val="both"/>
        <w:rPr>
          <w:rFonts w:cstheme="minorHAnsi"/>
          <w:sz w:val="24"/>
        </w:rPr>
      </w:pPr>
      <w:r w:rsidRPr="00962595">
        <w:rPr>
          <w:rFonts w:cstheme="minorHAnsi"/>
          <w:sz w:val="24"/>
        </w:rPr>
        <w:t xml:space="preserve">Within NWM, there were </w:t>
      </w:r>
      <w:r w:rsidR="0019014E">
        <w:rPr>
          <w:rFonts w:cstheme="minorHAnsi"/>
          <w:sz w:val="24"/>
        </w:rPr>
        <w:t>167</w:t>
      </w:r>
      <w:r w:rsidRPr="00962595">
        <w:rPr>
          <w:rFonts w:cstheme="minorHAnsi"/>
          <w:sz w:val="24"/>
        </w:rPr>
        <w:t xml:space="preserve"> part-time roles </w:t>
      </w:r>
      <w:r w:rsidR="0019014E">
        <w:rPr>
          <w:rFonts w:cstheme="minorHAnsi"/>
          <w:sz w:val="24"/>
        </w:rPr>
        <w:t xml:space="preserve">of the data used. 81.44% </w:t>
      </w:r>
      <w:r w:rsidRPr="00962595">
        <w:rPr>
          <w:rFonts w:cstheme="minorHAnsi"/>
          <w:sz w:val="24"/>
        </w:rPr>
        <w:t xml:space="preserve">of </w:t>
      </w:r>
      <w:r w:rsidR="0019014E">
        <w:rPr>
          <w:rFonts w:cstheme="minorHAnsi"/>
          <w:sz w:val="24"/>
        </w:rPr>
        <w:t>these roles</w:t>
      </w:r>
      <w:r w:rsidRPr="00962595">
        <w:rPr>
          <w:rFonts w:cstheme="minorHAnsi"/>
          <w:sz w:val="24"/>
        </w:rPr>
        <w:t xml:space="preserve"> were filled by female employees</w:t>
      </w:r>
      <w:r w:rsidR="0019014E">
        <w:rPr>
          <w:rFonts w:cstheme="minorHAnsi"/>
          <w:sz w:val="24"/>
        </w:rPr>
        <w:t>.</w:t>
      </w:r>
    </w:p>
    <w:p w:rsidR="00157A09" w:rsidRDefault="00157A09" w:rsidP="00962595">
      <w:pPr>
        <w:spacing w:after="0" w:line="240" w:lineRule="auto"/>
        <w:jc w:val="both"/>
        <w:rPr>
          <w:rFonts w:cstheme="minorHAnsi"/>
          <w:sz w:val="24"/>
        </w:rPr>
      </w:pPr>
    </w:p>
    <w:p w:rsidR="00157A09" w:rsidRPr="00157A09" w:rsidRDefault="00157A09" w:rsidP="00157A09">
      <w:pPr>
        <w:spacing w:after="0" w:line="240" w:lineRule="auto"/>
        <w:jc w:val="both"/>
        <w:rPr>
          <w:rFonts w:cstheme="minorHAnsi"/>
          <w:b/>
          <w:sz w:val="24"/>
        </w:rPr>
      </w:pPr>
      <w:r w:rsidRPr="00157A09">
        <w:rPr>
          <w:rFonts w:cstheme="minorHAnsi"/>
          <w:b/>
          <w:sz w:val="24"/>
        </w:rPr>
        <w:t>Candidates being attracted to the Charity</w:t>
      </w: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r w:rsidRPr="00157A09">
        <w:rPr>
          <w:rFonts w:cstheme="minorHAnsi"/>
          <w:sz w:val="24"/>
        </w:rPr>
        <w:t>When looking at the numbers of applicants applying for roles within the Organisation, the view is more balanced, supporting the evidence above that any gap within the lower Quartiles is minimal in nature.</w:t>
      </w:r>
    </w:p>
    <w:p w:rsidR="00157A09" w:rsidRPr="00157A09" w:rsidRDefault="00157A09" w:rsidP="00157A09">
      <w:pPr>
        <w:spacing w:after="0" w:line="240" w:lineRule="auto"/>
        <w:jc w:val="both"/>
        <w:rPr>
          <w:rFonts w:cstheme="minorHAnsi"/>
          <w:sz w:val="24"/>
        </w:rPr>
      </w:pPr>
    </w:p>
    <w:p w:rsidR="00157A09" w:rsidRDefault="00157A09" w:rsidP="00157A09">
      <w:pPr>
        <w:spacing w:after="0" w:line="240" w:lineRule="auto"/>
        <w:jc w:val="both"/>
        <w:rPr>
          <w:rFonts w:cstheme="minorHAnsi"/>
          <w:sz w:val="24"/>
        </w:rPr>
      </w:pPr>
      <w:r w:rsidRPr="00157A09">
        <w:rPr>
          <w:rFonts w:cstheme="minorHAnsi"/>
          <w:sz w:val="24"/>
        </w:rPr>
        <w:t>The Charity welcomes applicants with Lived Experience and there are a significant number who make an active career change to move into the Mental Health arena.  Many of these are female, wanting to work on a part-time basis.</w:t>
      </w:r>
    </w:p>
    <w:p w:rsidR="00157A09" w:rsidRDefault="00157A09" w:rsidP="00157A09">
      <w:pPr>
        <w:spacing w:after="0" w:line="240" w:lineRule="auto"/>
        <w:jc w:val="both"/>
        <w:rPr>
          <w:rFonts w:cstheme="minorHAnsi"/>
          <w:sz w:val="24"/>
        </w:rPr>
      </w:pPr>
    </w:p>
    <w:p w:rsidR="00157A09" w:rsidRDefault="00157A09">
      <w:pPr>
        <w:rPr>
          <w:rFonts w:cstheme="minorHAnsi"/>
          <w:sz w:val="24"/>
        </w:rPr>
      </w:pPr>
      <w:r>
        <w:rPr>
          <w:rFonts w:cstheme="minorHAnsi"/>
          <w:sz w:val="24"/>
        </w:rPr>
        <w:br w:type="page"/>
      </w:r>
    </w:p>
    <w:p w:rsidR="00157A09" w:rsidRPr="009C4EDE" w:rsidRDefault="00157A09" w:rsidP="00157A09">
      <w:pPr>
        <w:spacing w:after="0" w:line="240" w:lineRule="auto"/>
        <w:jc w:val="both"/>
        <w:rPr>
          <w:rFonts w:cstheme="minorHAnsi"/>
          <w:b/>
          <w:sz w:val="24"/>
        </w:rPr>
      </w:pPr>
      <w:r w:rsidRPr="009C4EDE">
        <w:rPr>
          <w:rFonts w:cstheme="minorHAnsi"/>
          <w:b/>
          <w:sz w:val="24"/>
        </w:rPr>
        <w:t>Action</w:t>
      </w:r>
      <w:r w:rsidR="009C4EDE">
        <w:rPr>
          <w:rFonts w:cstheme="minorHAnsi"/>
          <w:b/>
          <w:sz w:val="24"/>
        </w:rPr>
        <w:t xml:space="preserve"> Plan</w:t>
      </w: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r w:rsidRPr="00157A09">
        <w:rPr>
          <w:rFonts w:cstheme="minorHAnsi"/>
          <w:sz w:val="24"/>
        </w:rPr>
        <w:t>Senior Leadership and Upper Quartile</w:t>
      </w:r>
      <w:r w:rsidR="009C4EDE">
        <w:rPr>
          <w:rFonts w:cstheme="minorHAnsi"/>
          <w:sz w:val="24"/>
        </w:rPr>
        <w:t xml:space="preserve"> is the area with the biggest </w:t>
      </w:r>
      <w:r w:rsidR="00996618">
        <w:rPr>
          <w:rFonts w:cstheme="minorHAnsi"/>
          <w:sz w:val="24"/>
        </w:rPr>
        <w:t>p</w:t>
      </w:r>
      <w:r w:rsidR="009C4EDE">
        <w:rPr>
          <w:rFonts w:cstheme="minorHAnsi"/>
          <w:sz w:val="24"/>
        </w:rPr>
        <w:t>ercentage difference which is 19.95%</w:t>
      </w:r>
    </w:p>
    <w:p w:rsidR="00157A09" w:rsidRPr="00157A09" w:rsidRDefault="00157A09" w:rsidP="00157A09">
      <w:pPr>
        <w:spacing w:after="0" w:line="240" w:lineRule="auto"/>
        <w:jc w:val="both"/>
        <w:rPr>
          <w:rFonts w:cstheme="minorHAnsi"/>
          <w:sz w:val="24"/>
        </w:rPr>
      </w:pPr>
    </w:p>
    <w:p w:rsidR="00157A09" w:rsidRPr="009C4EDE" w:rsidRDefault="00157A09" w:rsidP="00157A09">
      <w:pPr>
        <w:spacing w:after="0" w:line="240" w:lineRule="auto"/>
        <w:jc w:val="both"/>
        <w:rPr>
          <w:rFonts w:cstheme="minorHAnsi"/>
          <w:b/>
          <w:sz w:val="24"/>
        </w:rPr>
      </w:pPr>
      <w:r w:rsidRPr="009C4EDE">
        <w:rPr>
          <w:rFonts w:cstheme="minorHAnsi"/>
          <w:b/>
          <w:sz w:val="24"/>
        </w:rPr>
        <w:t xml:space="preserve">Initiatives that </w:t>
      </w:r>
      <w:r w:rsidR="009C4EDE">
        <w:rPr>
          <w:rFonts w:cstheme="minorHAnsi"/>
          <w:b/>
          <w:sz w:val="24"/>
        </w:rPr>
        <w:t>S</w:t>
      </w:r>
      <w:r w:rsidRPr="009C4EDE">
        <w:rPr>
          <w:rFonts w:cstheme="minorHAnsi"/>
          <w:b/>
          <w:sz w:val="24"/>
        </w:rPr>
        <w:t xml:space="preserve">upport </w:t>
      </w:r>
      <w:r w:rsidR="009C4EDE">
        <w:rPr>
          <w:rFonts w:cstheme="minorHAnsi"/>
          <w:b/>
          <w:sz w:val="24"/>
        </w:rPr>
        <w:t>C</w:t>
      </w:r>
      <w:r w:rsidRPr="009C4EDE">
        <w:rPr>
          <w:rFonts w:cstheme="minorHAnsi"/>
          <w:b/>
          <w:sz w:val="24"/>
        </w:rPr>
        <w:t xml:space="preserve">areer </w:t>
      </w:r>
      <w:r w:rsidR="009C4EDE">
        <w:rPr>
          <w:rFonts w:cstheme="minorHAnsi"/>
          <w:b/>
          <w:sz w:val="24"/>
        </w:rPr>
        <w:t>D</w:t>
      </w:r>
      <w:r w:rsidRPr="009C4EDE">
        <w:rPr>
          <w:rFonts w:cstheme="minorHAnsi"/>
          <w:b/>
          <w:sz w:val="24"/>
        </w:rPr>
        <w:t xml:space="preserve">evelopment, </w:t>
      </w:r>
      <w:r w:rsidR="009C4EDE">
        <w:rPr>
          <w:rFonts w:cstheme="minorHAnsi"/>
          <w:b/>
          <w:sz w:val="24"/>
        </w:rPr>
        <w:t>T</w:t>
      </w:r>
      <w:r w:rsidRPr="009C4EDE">
        <w:rPr>
          <w:rFonts w:cstheme="minorHAnsi"/>
          <w:b/>
          <w:sz w:val="24"/>
        </w:rPr>
        <w:t xml:space="preserve">alent </w:t>
      </w:r>
      <w:r w:rsidR="009C4EDE">
        <w:rPr>
          <w:rFonts w:cstheme="minorHAnsi"/>
          <w:b/>
          <w:sz w:val="24"/>
        </w:rPr>
        <w:t>I</w:t>
      </w:r>
      <w:r w:rsidRPr="009C4EDE">
        <w:rPr>
          <w:rFonts w:cstheme="minorHAnsi"/>
          <w:b/>
          <w:sz w:val="24"/>
        </w:rPr>
        <w:t xml:space="preserve">dentification and </w:t>
      </w:r>
      <w:r w:rsidR="009C4EDE">
        <w:rPr>
          <w:rFonts w:cstheme="minorHAnsi"/>
          <w:b/>
          <w:sz w:val="24"/>
        </w:rPr>
        <w:t>S</w:t>
      </w:r>
      <w:r w:rsidRPr="009C4EDE">
        <w:rPr>
          <w:rFonts w:cstheme="minorHAnsi"/>
          <w:b/>
          <w:sz w:val="24"/>
        </w:rPr>
        <w:t xml:space="preserve">uccession </w:t>
      </w:r>
      <w:r w:rsidR="009C4EDE">
        <w:rPr>
          <w:rFonts w:cstheme="minorHAnsi"/>
          <w:b/>
          <w:sz w:val="24"/>
        </w:rPr>
        <w:t>P</w:t>
      </w:r>
      <w:r w:rsidRPr="009C4EDE">
        <w:rPr>
          <w:rFonts w:cstheme="minorHAnsi"/>
          <w:b/>
          <w:sz w:val="24"/>
        </w:rPr>
        <w:t>lanning</w:t>
      </w: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r w:rsidRPr="00157A09">
        <w:rPr>
          <w:rFonts w:cstheme="minorHAnsi"/>
          <w:sz w:val="24"/>
        </w:rPr>
        <w:t xml:space="preserve">The Charity </w:t>
      </w:r>
      <w:r w:rsidR="00067612">
        <w:rPr>
          <w:rFonts w:cstheme="minorHAnsi"/>
          <w:sz w:val="24"/>
        </w:rPr>
        <w:t xml:space="preserve">previously </w:t>
      </w:r>
      <w:r w:rsidRPr="00157A09">
        <w:rPr>
          <w:rFonts w:cstheme="minorHAnsi"/>
          <w:sz w:val="24"/>
        </w:rPr>
        <w:t>identified the need for continuous improvement and a performance management process. The opportunity to identify future talent is in process. Identifying talent is work</w:t>
      </w:r>
      <w:r w:rsidR="00996618">
        <w:rPr>
          <w:rFonts w:cstheme="minorHAnsi"/>
          <w:sz w:val="24"/>
        </w:rPr>
        <w:t>ing</w:t>
      </w:r>
      <w:r w:rsidRPr="00157A09">
        <w:rPr>
          <w:rFonts w:cstheme="minorHAnsi"/>
          <w:sz w:val="24"/>
        </w:rPr>
        <w:t xml:space="preserve"> both vertically and horizontally.</w:t>
      </w:r>
      <w:r w:rsidR="00067612">
        <w:rPr>
          <w:rFonts w:cstheme="minorHAnsi"/>
          <w:sz w:val="24"/>
        </w:rPr>
        <w:t xml:space="preserve"> This has started to be implemented at senior level and is currently being cascaded through the </w:t>
      </w:r>
      <w:proofErr w:type="spellStart"/>
      <w:r w:rsidR="00067612">
        <w:rPr>
          <w:rFonts w:cstheme="minorHAnsi"/>
          <w:sz w:val="24"/>
        </w:rPr>
        <w:t>organisaiton</w:t>
      </w:r>
      <w:proofErr w:type="spellEnd"/>
      <w:r w:rsidR="00067612">
        <w:rPr>
          <w:rFonts w:cstheme="minorHAnsi"/>
          <w:sz w:val="24"/>
        </w:rPr>
        <w:t>.</w:t>
      </w:r>
    </w:p>
    <w:p w:rsidR="00157A09" w:rsidRPr="00157A09" w:rsidRDefault="00157A09" w:rsidP="00157A09">
      <w:pPr>
        <w:spacing w:after="0" w:line="240" w:lineRule="auto"/>
        <w:jc w:val="both"/>
        <w:rPr>
          <w:rFonts w:cstheme="minorHAnsi"/>
          <w:sz w:val="24"/>
        </w:rPr>
      </w:pPr>
    </w:p>
    <w:p w:rsidR="00157A09" w:rsidRPr="00157A09" w:rsidRDefault="00067612" w:rsidP="00157A09">
      <w:pPr>
        <w:spacing w:after="0" w:line="240" w:lineRule="auto"/>
        <w:jc w:val="both"/>
        <w:rPr>
          <w:rFonts w:cstheme="minorHAnsi"/>
          <w:sz w:val="24"/>
        </w:rPr>
      </w:pPr>
      <w:r>
        <w:rPr>
          <w:rFonts w:cstheme="minorHAnsi"/>
          <w:sz w:val="24"/>
        </w:rPr>
        <w:t xml:space="preserve">Due to the </w:t>
      </w:r>
      <w:r w:rsidR="00157A09" w:rsidRPr="00157A09">
        <w:rPr>
          <w:rFonts w:cstheme="minorHAnsi"/>
          <w:sz w:val="24"/>
        </w:rPr>
        <w:t>Charity</w:t>
      </w:r>
      <w:r>
        <w:rPr>
          <w:rFonts w:cstheme="minorHAnsi"/>
          <w:sz w:val="24"/>
        </w:rPr>
        <w:t xml:space="preserve">’s commitment to </w:t>
      </w:r>
      <w:r w:rsidR="00157A09" w:rsidRPr="00157A09">
        <w:rPr>
          <w:rFonts w:cstheme="minorHAnsi"/>
          <w:sz w:val="24"/>
        </w:rPr>
        <w:t xml:space="preserve">employee development </w:t>
      </w:r>
      <w:r>
        <w:rPr>
          <w:rFonts w:cstheme="minorHAnsi"/>
          <w:sz w:val="24"/>
        </w:rPr>
        <w:t xml:space="preserve">a thorough Induction plan for all employees has been implemented and is now in the process of following this up with additional training and development within </w:t>
      </w:r>
      <w:r w:rsidR="00996618">
        <w:rPr>
          <w:rFonts w:cstheme="minorHAnsi"/>
          <w:sz w:val="24"/>
        </w:rPr>
        <w:t>employees’</w:t>
      </w:r>
      <w:r>
        <w:rPr>
          <w:rFonts w:cstheme="minorHAnsi"/>
          <w:sz w:val="24"/>
        </w:rPr>
        <w:t xml:space="preserve"> roles for </w:t>
      </w:r>
      <w:r w:rsidR="00996618">
        <w:rPr>
          <w:rFonts w:cstheme="minorHAnsi"/>
          <w:sz w:val="24"/>
        </w:rPr>
        <w:t>v</w:t>
      </w:r>
      <w:r>
        <w:rPr>
          <w:rFonts w:cstheme="minorHAnsi"/>
          <w:sz w:val="24"/>
        </w:rPr>
        <w:t>ertical and horizontal development</w:t>
      </w:r>
      <w:r w:rsidR="00157A09" w:rsidRPr="00157A09">
        <w:rPr>
          <w:rFonts w:cstheme="minorHAnsi"/>
          <w:sz w:val="24"/>
        </w:rPr>
        <w:t xml:space="preserve">.  </w:t>
      </w:r>
    </w:p>
    <w:p w:rsidR="00157A09" w:rsidRPr="00157A09" w:rsidRDefault="00157A09" w:rsidP="00157A09">
      <w:pPr>
        <w:spacing w:after="0" w:line="240" w:lineRule="auto"/>
        <w:jc w:val="both"/>
        <w:rPr>
          <w:rFonts w:cstheme="minorHAnsi"/>
          <w:sz w:val="24"/>
        </w:rPr>
      </w:pPr>
    </w:p>
    <w:p w:rsidR="00157A09" w:rsidRPr="00996618" w:rsidRDefault="00157A09" w:rsidP="00157A09">
      <w:pPr>
        <w:spacing w:after="0" w:line="240" w:lineRule="auto"/>
        <w:jc w:val="both"/>
        <w:rPr>
          <w:rFonts w:cstheme="minorHAnsi"/>
          <w:b/>
          <w:sz w:val="24"/>
        </w:rPr>
      </w:pPr>
      <w:r w:rsidRPr="00157A09">
        <w:rPr>
          <w:rFonts w:cstheme="minorHAnsi"/>
          <w:sz w:val="24"/>
        </w:rPr>
        <w:t xml:space="preserve">The charity </w:t>
      </w:r>
      <w:r w:rsidR="00996618">
        <w:rPr>
          <w:rFonts w:cstheme="minorHAnsi"/>
          <w:sz w:val="24"/>
        </w:rPr>
        <w:t>has formed</w:t>
      </w:r>
      <w:r w:rsidRPr="00157A09">
        <w:rPr>
          <w:rFonts w:cstheme="minorHAnsi"/>
          <w:sz w:val="24"/>
        </w:rPr>
        <w:t xml:space="preserve"> a cycle </w:t>
      </w:r>
      <w:r w:rsidR="00996618">
        <w:rPr>
          <w:rFonts w:cstheme="minorHAnsi"/>
          <w:sz w:val="24"/>
        </w:rPr>
        <w:t>that</w:t>
      </w:r>
      <w:r w:rsidRPr="00157A09">
        <w:rPr>
          <w:rFonts w:cstheme="minorHAnsi"/>
          <w:sz w:val="24"/>
        </w:rPr>
        <w:t xml:space="preserve"> include</w:t>
      </w:r>
      <w:r w:rsidR="00996618">
        <w:rPr>
          <w:rFonts w:cstheme="minorHAnsi"/>
          <w:sz w:val="24"/>
        </w:rPr>
        <w:t>s</w:t>
      </w:r>
      <w:r w:rsidRPr="00157A09">
        <w:rPr>
          <w:rFonts w:cstheme="minorHAnsi"/>
          <w:sz w:val="24"/>
        </w:rPr>
        <w:t xml:space="preserve"> career pathing mechanisms as well as informal and formal coaching, mentoring schemes and access to wider learning &amp; development opportunities.</w:t>
      </w: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r w:rsidRPr="00157A09">
        <w:rPr>
          <w:rFonts w:cstheme="minorHAnsi"/>
          <w:sz w:val="24"/>
        </w:rPr>
        <w:t>Specific action points will be:</w:t>
      </w:r>
    </w:p>
    <w:p w:rsidR="00157A09" w:rsidRPr="00157A09" w:rsidRDefault="00157A09" w:rsidP="00157A09">
      <w:pPr>
        <w:spacing w:after="0" w:line="240" w:lineRule="auto"/>
        <w:jc w:val="both"/>
        <w:rPr>
          <w:rFonts w:cstheme="minorHAnsi"/>
          <w:sz w:val="24"/>
        </w:rPr>
      </w:pP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r>
      <w:r w:rsidR="00E07056">
        <w:rPr>
          <w:rFonts w:cstheme="minorHAnsi"/>
          <w:sz w:val="24"/>
        </w:rPr>
        <w:t xml:space="preserve">Our </w:t>
      </w:r>
      <w:r w:rsidRPr="00157A09">
        <w:rPr>
          <w:rFonts w:cstheme="minorHAnsi"/>
          <w:sz w:val="24"/>
        </w:rPr>
        <w:t>suite of documents that encourage and support goal setting, regular review and discussion of personal development aspirations</w:t>
      </w:r>
      <w:r w:rsidR="00E07056">
        <w:rPr>
          <w:rFonts w:cstheme="minorHAnsi"/>
          <w:sz w:val="24"/>
        </w:rPr>
        <w:t xml:space="preserve"> is being cascaded through the organisation</w:t>
      </w:r>
      <w:r w:rsidRPr="00157A09">
        <w:rPr>
          <w:rFonts w:cstheme="minorHAnsi"/>
          <w:sz w:val="24"/>
        </w:rPr>
        <w:t>;</w:t>
      </w: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Extend current Learning and Development opportunities to include non-mandatory interventions provided at the time of need, and flexibly;</w:t>
      </w: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Proactively partner with Service Leads and managers to regularly discuss their teams in terms of development;</w:t>
      </w: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To develop a formal career pathing process for each role so people joining the Charity are aware of their personal develop options, if they wish to take them;</w:t>
      </w: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p>
    <w:p w:rsidR="00157A09" w:rsidRPr="00157A09" w:rsidRDefault="00157A09" w:rsidP="00157A09">
      <w:pPr>
        <w:spacing w:after="0" w:line="240" w:lineRule="auto"/>
        <w:jc w:val="both"/>
        <w:rPr>
          <w:rFonts w:cstheme="minorHAnsi"/>
          <w:sz w:val="24"/>
        </w:rPr>
      </w:pPr>
      <w:r w:rsidRPr="00157A09">
        <w:rPr>
          <w:rFonts w:cstheme="minorHAnsi"/>
          <w:sz w:val="24"/>
        </w:rPr>
        <w:t>Initiatives that support Equality, Diversity and Inclusivity</w:t>
      </w:r>
    </w:p>
    <w:p w:rsidR="00157A09" w:rsidRPr="00157A09" w:rsidRDefault="00157A09" w:rsidP="00E07056">
      <w:pPr>
        <w:spacing w:after="0" w:line="240" w:lineRule="auto"/>
        <w:ind w:left="284" w:hanging="284"/>
        <w:jc w:val="both"/>
        <w:rPr>
          <w:rFonts w:cstheme="minorHAnsi"/>
          <w:sz w:val="24"/>
        </w:rPr>
      </w:pP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Flexible Working: Whilst this happens informally across the organisation, practices are ad hoc and inconsistently applied thus creating a feeling of unfairness within different teams.</w:t>
      </w:r>
    </w:p>
    <w:p w:rsidR="00157A09" w:rsidRPr="00157A09" w:rsidRDefault="00157A09" w:rsidP="00E07056">
      <w:pPr>
        <w:spacing w:after="0" w:line="240" w:lineRule="auto"/>
        <w:ind w:left="284" w:hanging="284"/>
        <w:jc w:val="both"/>
        <w:rPr>
          <w:rFonts w:cstheme="minorHAnsi"/>
          <w:sz w:val="24"/>
        </w:rPr>
      </w:pPr>
    </w:p>
    <w:p w:rsidR="00157A09" w:rsidRPr="00E07056" w:rsidRDefault="00157A09" w:rsidP="00157A09">
      <w:pPr>
        <w:spacing w:after="0" w:line="240" w:lineRule="auto"/>
        <w:jc w:val="both"/>
        <w:rPr>
          <w:rFonts w:cstheme="minorHAnsi"/>
          <w:i/>
          <w:sz w:val="24"/>
        </w:rPr>
      </w:pPr>
      <w:r w:rsidRPr="00E07056">
        <w:rPr>
          <w:rFonts w:cstheme="minorHAnsi"/>
          <w:i/>
          <w:sz w:val="24"/>
        </w:rPr>
        <w:t xml:space="preserve">Action </w:t>
      </w:r>
    </w:p>
    <w:p w:rsidR="00157A09" w:rsidRPr="00E07056" w:rsidRDefault="00E07056" w:rsidP="00E07056">
      <w:pPr>
        <w:pStyle w:val="ListParagraph"/>
        <w:numPr>
          <w:ilvl w:val="0"/>
          <w:numId w:val="5"/>
        </w:numPr>
        <w:spacing w:after="0" w:line="240" w:lineRule="auto"/>
        <w:jc w:val="both"/>
        <w:rPr>
          <w:rFonts w:cstheme="minorHAnsi"/>
          <w:sz w:val="24"/>
        </w:rPr>
      </w:pPr>
      <w:r>
        <w:rPr>
          <w:rFonts w:cstheme="minorHAnsi"/>
          <w:sz w:val="24"/>
        </w:rPr>
        <w:t>The</w:t>
      </w:r>
      <w:r w:rsidR="00157A09" w:rsidRPr="00E07056">
        <w:rPr>
          <w:rFonts w:cstheme="minorHAnsi"/>
          <w:sz w:val="24"/>
        </w:rPr>
        <w:t xml:space="preserve"> flexible working and home working policies</w:t>
      </w:r>
      <w:r>
        <w:rPr>
          <w:rFonts w:cstheme="minorHAnsi"/>
          <w:sz w:val="24"/>
        </w:rPr>
        <w:t xml:space="preserve"> has been reviewed and </w:t>
      </w:r>
      <w:r w:rsidR="00157A09" w:rsidRPr="00E07056">
        <w:rPr>
          <w:rFonts w:cstheme="minorHAnsi"/>
          <w:sz w:val="24"/>
        </w:rPr>
        <w:t>adaptive ways of working, including hybrid patterns</w:t>
      </w:r>
      <w:r>
        <w:rPr>
          <w:rFonts w:cstheme="minorHAnsi"/>
          <w:sz w:val="24"/>
        </w:rPr>
        <w:t xml:space="preserve"> are being tried and tested</w:t>
      </w:r>
      <w:r w:rsidR="00157A09" w:rsidRPr="00E07056">
        <w:rPr>
          <w:rFonts w:cstheme="minorHAnsi"/>
          <w:sz w:val="24"/>
        </w:rPr>
        <w:t xml:space="preserve">.  </w:t>
      </w:r>
    </w:p>
    <w:p w:rsidR="00157A09" w:rsidRP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Managers to be supported in how to manage remote teams;</w:t>
      </w:r>
    </w:p>
    <w:p w:rsidR="00157A09" w:rsidRP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Introduce new ways of working as a key USP in recruitment drives – key attraction tool</w:t>
      </w:r>
    </w:p>
    <w:p w:rsidR="00157A09" w:rsidRPr="00157A09" w:rsidRDefault="00157A09" w:rsidP="00157A09">
      <w:pPr>
        <w:spacing w:after="0" w:line="240" w:lineRule="auto"/>
        <w:jc w:val="both"/>
        <w:rPr>
          <w:rFonts w:cstheme="minorHAnsi"/>
          <w:sz w:val="24"/>
        </w:rPr>
      </w:pP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 xml:space="preserve">Wellbeing: Limited Wellbeing initiatives are provided to staff (e.g. counselling, </w:t>
      </w:r>
      <w:proofErr w:type="gramStart"/>
      <w:r w:rsidRPr="00157A09">
        <w:rPr>
          <w:rFonts w:cstheme="minorHAnsi"/>
          <w:sz w:val="24"/>
        </w:rPr>
        <w:t>EAP)  but</w:t>
      </w:r>
      <w:proofErr w:type="gramEnd"/>
      <w:r w:rsidRPr="00157A09">
        <w:rPr>
          <w:rFonts w:cstheme="minorHAnsi"/>
          <w:sz w:val="24"/>
        </w:rPr>
        <w:t xml:space="preserve"> these need to be extended and applied on a wider scale</w:t>
      </w:r>
    </w:p>
    <w:p w:rsidR="00157A09" w:rsidRPr="00157A09" w:rsidRDefault="00157A09" w:rsidP="00157A09">
      <w:pPr>
        <w:spacing w:after="0" w:line="240" w:lineRule="auto"/>
        <w:jc w:val="both"/>
        <w:rPr>
          <w:rFonts w:cstheme="minorHAnsi"/>
          <w:sz w:val="24"/>
        </w:rPr>
      </w:pPr>
    </w:p>
    <w:p w:rsidR="00157A09" w:rsidRPr="00E07056" w:rsidRDefault="00157A09" w:rsidP="00157A09">
      <w:pPr>
        <w:spacing w:after="0" w:line="240" w:lineRule="auto"/>
        <w:jc w:val="both"/>
        <w:rPr>
          <w:rFonts w:cstheme="minorHAnsi"/>
          <w:i/>
          <w:sz w:val="24"/>
        </w:rPr>
      </w:pPr>
      <w:r w:rsidRPr="00E07056">
        <w:rPr>
          <w:rFonts w:cstheme="minorHAnsi"/>
          <w:i/>
          <w:sz w:val="24"/>
        </w:rPr>
        <w:t>Action</w:t>
      </w:r>
    </w:p>
    <w:p w:rsidR="00157A09" w:rsidRP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Promote the services more that are available to staff, i.e. EAP service, Healthcare plans</w:t>
      </w:r>
      <w:r w:rsidR="00E07056">
        <w:rPr>
          <w:rFonts w:cstheme="minorHAnsi"/>
          <w:sz w:val="24"/>
        </w:rPr>
        <w:t>, discount portals</w:t>
      </w:r>
      <w:r w:rsidRPr="00E07056">
        <w:rPr>
          <w:rFonts w:cstheme="minorHAnsi"/>
          <w:sz w:val="24"/>
        </w:rPr>
        <w:t xml:space="preserve"> etc.</w:t>
      </w:r>
    </w:p>
    <w:p w:rsidR="00157A09" w:rsidRPr="00E07056" w:rsidRDefault="00157A09" w:rsidP="00E07056">
      <w:pPr>
        <w:spacing w:after="0" w:line="240" w:lineRule="auto"/>
        <w:ind w:left="360"/>
        <w:jc w:val="both"/>
        <w:rPr>
          <w:rFonts w:cstheme="minorHAnsi"/>
          <w:sz w:val="24"/>
        </w:rPr>
      </w:pPr>
    </w:p>
    <w:p w:rsidR="00157A09" w:rsidRPr="00157A09" w:rsidRDefault="00157A09" w:rsidP="00157A09">
      <w:pPr>
        <w:spacing w:after="0" w:line="240" w:lineRule="auto"/>
        <w:jc w:val="both"/>
        <w:rPr>
          <w:rFonts w:cstheme="minorHAnsi"/>
          <w:sz w:val="24"/>
        </w:rPr>
      </w:pPr>
    </w:p>
    <w:p w:rsidR="00157A09" w:rsidRPr="00E07056" w:rsidRDefault="00157A09" w:rsidP="00E07056">
      <w:pPr>
        <w:pStyle w:val="ListParagraph"/>
        <w:numPr>
          <w:ilvl w:val="1"/>
          <w:numId w:val="5"/>
        </w:numPr>
        <w:spacing w:after="0" w:line="240" w:lineRule="auto"/>
        <w:ind w:left="284" w:hanging="284"/>
        <w:jc w:val="both"/>
        <w:rPr>
          <w:rFonts w:cstheme="minorHAnsi"/>
          <w:sz w:val="24"/>
        </w:rPr>
      </w:pPr>
      <w:r w:rsidRPr="00E07056">
        <w:rPr>
          <w:rFonts w:cstheme="minorHAnsi"/>
          <w:sz w:val="24"/>
        </w:rPr>
        <w:t>Recognition: Currently, apart from recognising long service with vouchers and certificates, there is no other form of recognition for those who go above and beyond.</w:t>
      </w:r>
    </w:p>
    <w:p w:rsidR="00157A09" w:rsidRPr="00157A09" w:rsidRDefault="00157A09" w:rsidP="00157A09">
      <w:pPr>
        <w:spacing w:after="0" w:line="240" w:lineRule="auto"/>
        <w:jc w:val="both"/>
        <w:rPr>
          <w:rFonts w:cstheme="minorHAnsi"/>
          <w:sz w:val="24"/>
        </w:rPr>
      </w:pPr>
    </w:p>
    <w:p w:rsidR="00157A09" w:rsidRPr="00E07056" w:rsidRDefault="00157A09" w:rsidP="00E07056">
      <w:pPr>
        <w:spacing w:after="0" w:line="240" w:lineRule="auto"/>
        <w:jc w:val="both"/>
        <w:rPr>
          <w:rFonts w:cstheme="minorHAnsi"/>
          <w:i/>
          <w:sz w:val="24"/>
        </w:rPr>
      </w:pPr>
      <w:r w:rsidRPr="00E07056">
        <w:rPr>
          <w:rFonts w:cstheme="minorHAnsi"/>
          <w:i/>
          <w:sz w:val="24"/>
        </w:rPr>
        <w:t xml:space="preserve">Action </w:t>
      </w:r>
    </w:p>
    <w:p w:rsidR="00157A09" w:rsidRP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Review a voucher scheme that may allow for ad hoc payment to reward additional work over and beyond what is expected – consider a process by which employees can be nominated</w:t>
      </w:r>
    </w:p>
    <w:p w:rsidR="00157A09" w:rsidRPr="00157A09" w:rsidRDefault="00157A09" w:rsidP="00157A09">
      <w:pPr>
        <w:spacing w:after="0" w:line="240" w:lineRule="auto"/>
        <w:jc w:val="both"/>
        <w:rPr>
          <w:rFonts w:cstheme="minorHAnsi"/>
          <w:sz w:val="24"/>
        </w:rPr>
      </w:pPr>
    </w:p>
    <w:p w:rsidR="00157A09" w:rsidRPr="00157A09" w:rsidRDefault="00157A09" w:rsidP="00E07056">
      <w:pPr>
        <w:spacing w:after="0" w:line="240" w:lineRule="auto"/>
        <w:ind w:left="284" w:hanging="284"/>
        <w:jc w:val="both"/>
        <w:rPr>
          <w:rFonts w:cstheme="minorHAnsi"/>
          <w:sz w:val="24"/>
        </w:rPr>
      </w:pPr>
      <w:r w:rsidRPr="00157A09">
        <w:rPr>
          <w:rFonts w:cstheme="minorHAnsi"/>
          <w:sz w:val="24"/>
        </w:rPr>
        <w:t>•</w:t>
      </w:r>
      <w:r w:rsidRPr="00157A09">
        <w:rPr>
          <w:rFonts w:cstheme="minorHAnsi"/>
          <w:sz w:val="24"/>
        </w:rPr>
        <w:tab/>
        <w:t xml:space="preserve">Living Wage: Whilst the Charity is committed to paying the Living Wage, since </w:t>
      </w:r>
      <w:r w:rsidR="00E07056">
        <w:rPr>
          <w:rFonts w:cstheme="minorHAnsi"/>
          <w:sz w:val="24"/>
        </w:rPr>
        <w:t xml:space="preserve">an increase in September, </w:t>
      </w:r>
      <w:r w:rsidRPr="00157A09">
        <w:rPr>
          <w:rFonts w:cstheme="minorHAnsi"/>
          <w:sz w:val="24"/>
        </w:rPr>
        <w:t>it is possible some employees have fallen below this level. The charity has now committed to Real Living Wage Employer</w:t>
      </w:r>
    </w:p>
    <w:p w:rsidR="00157A09" w:rsidRPr="00157A09" w:rsidRDefault="00157A09" w:rsidP="00157A09">
      <w:pPr>
        <w:spacing w:after="0" w:line="240" w:lineRule="auto"/>
        <w:jc w:val="both"/>
        <w:rPr>
          <w:rFonts w:cstheme="minorHAnsi"/>
          <w:sz w:val="24"/>
        </w:rPr>
      </w:pPr>
    </w:p>
    <w:p w:rsidR="00157A09" w:rsidRPr="00E07056" w:rsidRDefault="00157A09" w:rsidP="00157A09">
      <w:pPr>
        <w:spacing w:after="0" w:line="240" w:lineRule="auto"/>
        <w:jc w:val="both"/>
        <w:rPr>
          <w:rFonts w:cstheme="minorHAnsi"/>
          <w:i/>
          <w:sz w:val="24"/>
        </w:rPr>
      </w:pPr>
      <w:r w:rsidRPr="00E07056">
        <w:rPr>
          <w:rFonts w:cstheme="minorHAnsi"/>
          <w:i/>
          <w:sz w:val="24"/>
        </w:rPr>
        <w:t>Action</w:t>
      </w:r>
    </w:p>
    <w:p w:rsidR="00157A09"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 xml:space="preserve">Remuneration for employees is assessed on annual basis to make improvement </w:t>
      </w:r>
      <w:r w:rsidR="00E07056" w:rsidRPr="00E07056">
        <w:rPr>
          <w:rFonts w:cstheme="minorHAnsi"/>
          <w:sz w:val="24"/>
        </w:rPr>
        <w:t>in line</w:t>
      </w:r>
      <w:r w:rsidRPr="00E07056">
        <w:rPr>
          <w:rFonts w:cstheme="minorHAnsi"/>
          <w:sz w:val="24"/>
        </w:rPr>
        <w:t xml:space="preserve"> with similar organisations, </w:t>
      </w:r>
    </w:p>
    <w:p w:rsidR="00E07056" w:rsidRPr="00E07056" w:rsidRDefault="00E07056" w:rsidP="00E07056">
      <w:pPr>
        <w:pStyle w:val="ListParagraph"/>
        <w:numPr>
          <w:ilvl w:val="0"/>
          <w:numId w:val="5"/>
        </w:numPr>
        <w:spacing w:after="0" w:line="240" w:lineRule="auto"/>
        <w:jc w:val="both"/>
        <w:rPr>
          <w:rFonts w:cstheme="minorHAnsi"/>
          <w:sz w:val="24"/>
        </w:rPr>
      </w:pPr>
      <w:r>
        <w:rPr>
          <w:rFonts w:cstheme="minorHAnsi"/>
          <w:sz w:val="24"/>
        </w:rPr>
        <w:t>Remuneration to be monitored more closely to ensure that the commitment to Real Living Wage does not slip</w:t>
      </w:r>
    </w:p>
    <w:p w:rsidR="00157A09" w:rsidRPr="00157A09" w:rsidRDefault="00157A09" w:rsidP="00157A09">
      <w:pPr>
        <w:spacing w:after="0" w:line="240" w:lineRule="auto"/>
        <w:jc w:val="both"/>
        <w:rPr>
          <w:rFonts w:cstheme="minorHAnsi"/>
          <w:sz w:val="24"/>
        </w:rPr>
      </w:pPr>
    </w:p>
    <w:p w:rsidR="00157A09" w:rsidRPr="00157A09" w:rsidRDefault="00157A09" w:rsidP="00E07056">
      <w:pPr>
        <w:spacing w:after="0" w:line="240" w:lineRule="auto"/>
        <w:ind w:left="426" w:hanging="426"/>
        <w:jc w:val="both"/>
        <w:rPr>
          <w:rFonts w:cstheme="minorHAnsi"/>
          <w:sz w:val="24"/>
        </w:rPr>
      </w:pPr>
      <w:r w:rsidRPr="00157A09">
        <w:rPr>
          <w:rFonts w:cstheme="minorHAnsi"/>
          <w:sz w:val="24"/>
        </w:rPr>
        <w:t>•</w:t>
      </w:r>
      <w:r w:rsidRPr="00157A09">
        <w:rPr>
          <w:rFonts w:cstheme="minorHAnsi"/>
          <w:sz w:val="24"/>
        </w:rPr>
        <w:tab/>
        <w:t xml:space="preserve">Equality &amp; Diversity: Currently provide training as part of induction process.  There is no refresher training at present nor any Champions.  </w:t>
      </w:r>
    </w:p>
    <w:p w:rsidR="00157A09" w:rsidRPr="00157A09" w:rsidRDefault="00157A09" w:rsidP="00157A09">
      <w:pPr>
        <w:spacing w:after="0" w:line="240" w:lineRule="auto"/>
        <w:jc w:val="both"/>
        <w:rPr>
          <w:rFonts w:cstheme="minorHAnsi"/>
          <w:sz w:val="24"/>
        </w:rPr>
      </w:pPr>
    </w:p>
    <w:p w:rsidR="00157A09" w:rsidRPr="00E07056" w:rsidRDefault="00157A09" w:rsidP="00157A09">
      <w:pPr>
        <w:spacing w:after="0" w:line="240" w:lineRule="auto"/>
        <w:jc w:val="both"/>
        <w:rPr>
          <w:rFonts w:cstheme="minorHAnsi"/>
          <w:i/>
          <w:sz w:val="24"/>
        </w:rPr>
      </w:pPr>
      <w:r w:rsidRPr="00E07056">
        <w:rPr>
          <w:rFonts w:cstheme="minorHAnsi"/>
          <w:i/>
          <w:sz w:val="24"/>
        </w:rPr>
        <w:t>Action</w:t>
      </w:r>
    </w:p>
    <w:p w:rsidR="00157A09" w:rsidRP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Review Equality Policy to ensure fit for purpose;</w:t>
      </w:r>
    </w:p>
    <w:p w:rsidR="00E07056" w:rsidRDefault="00157A09" w:rsidP="00E07056">
      <w:pPr>
        <w:pStyle w:val="ListParagraph"/>
        <w:numPr>
          <w:ilvl w:val="0"/>
          <w:numId w:val="5"/>
        </w:numPr>
        <w:spacing w:after="0" w:line="240" w:lineRule="auto"/>
        <w:jc w:val="both"/>
        <w:rPr>
          <w:rFonts w:cstheme="minorHAnsi"/>
          <w:sz w:val="24"/>
        </w:rPr>
      </w:pPr>
      <w:r w:rsidRPr="00E07056">
        <w:rPr>
          <w:rFonts w:cstheme="minorHAnsi"/>
          <w:sz w:val="24"/>
        </w:rPr>
        <w:t>Consider a programme of refresher training for staff</w:t>
      </w:r>
      <w:r w:rsidR="00E07056">
        <w:rPr>
          <w:rFonts w:cstheme="minorHAnsi"/>
          <w:sz w:val="24"/>
        </w:rPr>
        <w:t>;</w:t>
      </w:r>
    </w:p>
    <w:p w:rsidR="00157A09" w:rsidRPr="00E07056" w:rsidRDefault="00E07056" w:rsidP="00E07056">
      <w:pPr>
        <w:pStyle w:val="ListParagraph"/>
        <w:numPr>
          <w:ilvl w:val="0"/>
          <w:numId w:val="5"/>
        </w:numPr>
        <w:spacing w:after="0" w:line="240" w:lineRule="auto"/>
        <w:jc w:val="both"/>
        <w:rPr>
          <w:rFonts w:cstheme="minorHAnsi"/>
          <w:sz w:val="24"/>
        </w:rPr>
      </w:pPr>
      <w:r>
        <w:rPr>
          <w:rFonts w:cstheme="minorHAnsi"/>
          <w:sz w:val="24"/>
        </w:rPr>
        <w:t>Monitoring is to be reviewed, updated and implemented</w:t>
      </w:r>
      <w:r w:rsidR="00157A09" w:rsidRPr="00E07056">
        <w:rPr>
          <w:rFonts w:cstheme="minorHAnsi"/>
          <w:sz w:val="24"/>
        </w:rPr>
        <w:t xml:space="preserve"> </w:t>
      </w:r>
    </w:p>
    <w:p w:rsidR="00157A09" w:rsidRPr="00157A09" w:rsidRDefault="00157A09" w:rsidP="00157A09">
      <w:pPr>
        <w:spacing w:after="0" w:line="240" w:lineRule="auto"/>
        <w:jc w:val="both"/>
        <w:rPr>
          <w:rFonts w:cstheme="minorHAnsi"/>
          <w:sz w:val="24"/>
        </w:rPr>
      </w:pPr>
    </w:p>
    <w:p w:rsidR="00157A09" w:rsidRPr="00C25688" w:rsidRDefault="00157A09" w:rsidP="00157A09">
      <w:pPr>
        <w:spacing w:after="0" w:line="240" w:lineRule="auto"/>
        <w:jc w:val="both"/>
        <w:rPr>
          <w:rFonts w:cstheme="minorHAnsi"/>
          <w:sz w:val="24"/>
        </w:rPr>
      </w:pPr>
    </w:p>
    <w:sectPr w:rsidR="00157A09" w:rsidRPr="00C256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8E" w:rsidRDefault="0026308E" w:rsidP="0026308E">
      <w:pPr>
        <w:spacing w:after="0" w:line="240" w:lineRule="auto"/>
      </w:pPr>
      <w:r>
        <w:separator/>
      </w:r>
    </w:p>
  </w:endnote>
  <w:endnote w:type="continuationSeparator" w:id="0">
    <w:p w:rsidR="0026308E" w:rsidRDefault="0026308E" w:rsidP="0026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8E" w:rsidRDefault="0026308E" w:rsidP="0026308E">
      <w:pPr>
        <w:spacing w:after="0" w:line="240" w:lineRule="auto"/>
      </w:pPr>
      <w:r>
        <w:separator/>
      </w:r>
    </w:p>
  </w:footnote>
  <w:footnote w:type="continuationSeparator" w:id="0">
    <w:p w:rsidR="0026308E" w:rsidRDefault="0026308E" w:rsidP="0026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8E" w:rsidRDefault="0026308E" w:rsidP="0026308E">
    <w:pPr>
      <w:pStyle w:val="Header"/>
      <w:jc w:val="right"/>
    </w:pPr>
    <w:r>
      <w:rPr>
        <w:noProof/>
      </w:rPr>
      <w:drawing>
        <wp:inline distT="0" distB="0" distL="0" distR="0" wp14:anchorId="3CCC2943">
          <wp:extent cx="1320261" cy="762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095" cy="787312"/>
                  </a:xfrm>
                  <a:prstGeom prst="rect">
                    <a:avLst/>
                  </a:prstGeom>
                  <a:noFill/>
                </pic:spPr>
              </pic:pic>
            </a:graphicData>
          </a:graphic>
        </wp:inline>
      </w:drawing>
    </w:r>
  </w:p>
  <w:p w:rsidR="009F6E89" w:rsidRDefault="009F6E89" w:rsidP="002630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6B38"/>
    <w:multiLevelType w:val="hybridMultilevel"/>
    <w:tmpl w:val="165AF322"/>
    <w:lvl w:ilvl="0" w:tplc="CA2EC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202E2"/>
    <w:multiLevelType w:val="hybridMultilevel"/>
    <w:tmpl w:val="78C4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343B7"/>
    <w:multiLevelType w:val="hybridMultilevel"/>
    <w:tmpl w:val="3500D06A"/>
    <w:lvl w:ilvl="0" w:tplc="08090001">
      <w:start w:val="1"/>
      <w:numFmt w:val="bullet"/>
      <w:lvlText w:val=""/>
      <w:lvlJc w:val="left"/>
      <w:pPr>
        <w:ind w:left="720" w:hanging="360"/>
      </w:pPr>
      <w:rPr>
        <w:rFonts w:ascii="Symbol" w:hAnsi="Symbol" w:hint="default"/>
      </w:rPr>
    </w:lvl>
    <w:lvl w:ilvl="1" w:tplc="D480B33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47749"/>
    <w:multiLevelType w:val="multilevel"/>
    <w:tmpl w:val="E86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CC7C17"/>
    <w:multiLevelType w:val="hybridMultilevel"/>
    <w:tmpl w:val="B406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9756D"/>
    <w:multiLevelType w:val="hybridMultilevel"/>
    <w:tmpl w:val="2F40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7315F"/>
    <w:multiLevelType w:val="hybridMultilevel"/>
    <w:tmpl w:val="9E1ACF7A"/>
    <w:lvl w:ilvl="0" w:tplc="CA2EC6AE">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15:restartNumberingAfterBreak="0">
    <w:nsid w:val="61350AB6"/>
    <w:multiLevelType w:val="hybridMultilevel"/>
    <w:tmpl w:val="304421E8"/>
    <w:lvl w:ilvl="0" w:tplc="CA2EC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F73D4"/>
    <w:multiLevelType w:val="multilevel"/>
    <w:tmpl w:val="AEF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680ACD"/>
    <w:multiLevelType w:val="hybridMultilevel"/>
    <w:tmpl w:val="1612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3"/>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67612"/>
    <w:rsid w:val="00157A09"/>
    <w:rsid w:val="0019014E"/>
    <w:rsid w:val="002109E7"/>
    <w:rsid w:val="0026308E"/>
    <w:rsid w:val="003D11F5"/>
    <w:rsid w:val="00430F8C"/>
    <w:rsid w:val="005136AC"/>
    <w:rsid w:val="00620BE4"/>
    <w:rsid w:val="00645468"/>
    <w:rsid w:val="00962595"/>
    <w:rsid w:val="00996618"/>
    <w:rsid w:val="009C4EDE"/>
    <w:rsid w:val="009F6E89"/>
    <w:rsid w:val="00C25688"/>
    <w:rsid w:val="00D47245"/>
    <w:rsid w:val="00D73C0F"/>
    <w:rsid w:val="00E07056"/>
    <w:rsid w:val="00F5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97EFB4"/>
  <w15:chartTrackingRefBased/>
  <w15:docId w15:val="{372645EC-45E2-4706-A9AD-812E219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08E"/>
  </w:style>
  <w:style w:type="paragraph" w:styleId="Footer">
    <w:name w:val="footer"/>
    <w:basedOn w:val="Normal"/>
    <w:link w:val="FooterChar"/>
    <w:uiPriority w:val="99"/>
    <w:unhideWhenUsed/>
    <w:rsid w:val="0026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8E"/>
  </w:style>
  <w:style w:type="table" w:styleId="TableGrid">
    <w:name w:val="Table Grid"/>
    <w:basedOn w:val="TableNormal"/>
    <w:uiPriority w:val="39"/>
    <w:rsid w:val="00F5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8472">
      <w:bodyDiv w:val="1"/>
      <w:marLeft w:val="0"/>
      <w:marRight w:val="0"/>
      <w:marTop w:val="0"/>
      <w:marBottom w:val="0"/>
      <w:divBdr>
        <w:top w:val="none" w:sz="0" w:space="0" w:color="auto"/>
        <w:left w:val="none" w:sz="0" w:space="0" w:color="auto"/>
        <w:bottom w:val="none" w:sz="0" w:space="0" w:color="auto"/>
        <w:right w:val="none" w:sz="0" w:space="0" w:color="auto"/>
      </w:divBdr>
    </w:div>
    <w:div w:id="8896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d.nwmind.org.uk\sale-road-shares\Shares\hr_admin\HR%20Staff%20Work\Lisa%20Green\Gender%20Pay%20Gap%20April%202023\Gender%20Reporting%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r>
              <a:rPr lang="en-GB" sz="1100" b="1">
                <a:solidFill>
                  <a:sysClr val="windowText" lastClr="000000"/>
                </a:solidFill>
                <a:latin typeface="+mn-lt"/>
              </a:rPr>
              <a:t>Total Relevant Employee Gender Breakdown</a:t>
            </a: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91F-4049-A84E-758AC3275D5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91F-4049-A84E-758AC3275D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Gender!$F$3:$F$4</c:f>
              <c:strCache>
                <c:ptCount val="2"/>
                <c:pt idx="0">
                  <c:v>Male </c:v>
                </c:pt>
                <c:pt idx="1">
                  <c:v>Female</c:v>
                </c:pt>
              </c:strCache>
            </c:strRef>
          </c:cat>
          <c:val>
            <c:numRef>
              <c:f>Gender!$G$3:$G$4</c:f>
              <c:numCache>
                <c:formatCode>0%</c:formatCode>
                <c:ptCount val="2"/>
                <c:pt idx="0">
                  <c:v>0.31111111111111112</c:v>
                </c:pt>
                <c:pt idx="1">
                  <c:v>0.76271186440677963</c:v>
                </c:pt>
              </c:numCache>
            </c:numRef>
          </c:val>
          <c:extLst>
            <c:ext xmlns:c16="http://schemas.microsoft.com/office/drawing/2014/chart" uri="{C3380CC4-5D6E-409C-BE32-E72D297353CC}">
              <c16:uniqueId val="{00000004-491F-4049-A84E-758AC3275D5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Green | Norfolk &amp; Waveney Mind</dc:creator>
  <cp:keywords/>
  <dc:description/>
  <cp:lastModifiedBy>Lisa Green | Norfolk &amp; Waveney Mind</cp:lastModifiedBy>
  <cp:revision>7</cp:revision>
  <dcterms:created xsi:type="dcterms:W3CDTF">2023-03-14T09:25:00Z</dcterms:created>
  <dcterms:modified xsi:type="dcterms:W3CDTF">2023-03-16T10:18:00Z</dcterms:modified>
</cp:coreProperties>
</file>